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120"/>
      </w:pPr>
      <w:r>
        <w:rPr>
          <w:b/>
          <w:color w:val="2A9D8F"/>
          <w:sz w:val="26"/>
        </w:rPr>
        <w:t>МАЪРУЗА МАТНИ</w:t>
      </w:r>
    </w:p>
    <w:p>
      <w:pPr>
        <w:spacing w:after="280"/>
      </w:pPr>
      <w:r>
        <w:rPr>
          <w:b/>
          <w:color w:val="1F4E78"/>
          <w:sz w:val="46"/>
        </w:rPr>
        <w:t>Коррупцияга муросасизлик — одил судловга ишонч асоси</w:t>
      </w:r>
    </w:p>
    <w:tbl>
      <w:tblPr>
        <w:tblStyle w:val="TableGrid"/>
        <w:tblW w:type="dxa" w:w="9360"/>
        <w:tblLayout w:type="fixed"/>
        <w:tblLook w:firstColumn="1" w:firstRow="1" w:lastColumn="0" w:lastRow="0" w:noHBand="0" w:noVBand="1" w:val="04A0"/>
        <w:tblInd w:w="120" w:type="dxa"/>
      </w:tblPr>
      <w:tblGrid>
        <w:gridCol w:w="2100"/>
        <w:gridCol w:w="7260"/>
      </w:tblGrid>
      <w:tr>
        <w:tc>
          <w:tcPr>
            <w:tcW w:type="dxa" w:w="2100"/>
            <w:tcMar>
              <w:top w:w="90" w:type="dxa"/>
              <w:start w:w="120" w:type="dxa"/>
              <w:bottom w:w="90" w:type="dxa"/>
              <w:end w:w="120" w:type="dxa"/>
            </w:tcMar>
            <w:shd w:fill="EAF3F8"/>
            <w:vAlign w:val="center"/>
          </w:tcPr>
          <w:p>
            <w:pPr>
              <w:spacing w:after="0"/>
            </w:pPr>
            <w:r>
              <w:rPr>
                <w:b/>
                <w:sz w:val="20"/>
              </w:rPr>
              <w:t>Мақсад</w:t>
            </w:r>
          </w:p>
        </w:tc>
        <w:tc>
          <w:tcPr>
            <w:tcW w:type="dxa" w:w="7260"/>
            <w:tcMar>
              <w:top w:w="90" w:type="dxa"/>
              <w:start w:w="120" w:type="dxa"/>
              <w:bottom w:w="90" w:type="dxa"/>
              <w:end w:w="120" w:type="dxa"/>
            </w:tcMar>
            <w:vAlign w:val="center"/>
          </w:tcPr>
          <w:p>
            <w:pPr>
              <w:spacing w:after="0"/>
            </w:pPr>
            <w:r>
              <w:rPr>
                <w:sz w:val="20"/>
              </w:rPr>
              <w:t>коррупциянинг суд ҳокимиятига таъсирини тушунтириш ва ходимларда муросасиз муносабатни мустаҳкамлаш</w:t>
            </w:r>
          </w:p>
        </w:tc>
      </w:tr>
      <w:tr>
        <w:tc>
          <w:tcPr>
            <w:tcW w:type="dxa" w:w="2100"/>
            <w:tcMar>
              <w:top w:w="90" w:type="dxa"/>
              <w:start w:w="120" w:type="dxa"/>
              <w:bottom w:w="90" w:type="dxa"/>
              <w:end w:w="120" w:type="dxa"/>
            </w:tcMar>
            <w:shd w:fill="EAF3F8"/>
            <w:vAlign w:val="center"/>
          </w:tcPr>
          <w:p>
            <w:pPr>
              <w:spacing w:after="0"/>
            </w:pPr>
            <w:r>
              <w:rPr>
                <w:b/>
                <w:sz w:val="20"/>
              </w:rPr>
              <w:t>Мўлжалланган аудитория</w:t>
            </w:r>
          </w:p>
        </w:tc>
        <w:tc>
          <w:tcPr>
            <w:tcW w:type="dxa" w:w="7260"/>
            <w:tcMar>
              <w:top w:w="90" w:type="dxa"/>
              <w:start w:w="120" w:type="dxa"/>
              <w:bottom w:w="90" w:type="dxa"/>
              <w:end w:w="120" w:type="dxa"/>
            </w:tcMar>
            <w:vAlign w:val="center"/>
          </w:tcPr>
          <w:p>
            <w:pPr>
              <w:spacing w:after="0"/>
            </w:pPr>
            <w:r>
              <w:rPr>
                <w:sz w:val="20"/>
              </w:rPr>
              <w:t>судьялар, суд аппарати ва Кенгаш ходимлари</w:t>
            </w:r>
          </w:p>
        </w:tc>
      </w:tr>
      <w:tr>
        <w:tc>
          <w:tcPr>
            <w:tcW w:type="dxa" w:w="2100"/>
            <w:tcMar>
              <w:top w:w="90" w:type="dxa"/>
              <w:start w:w="120" w:type="dxa"/>
              <w:bottom w:w="90" w:type="dxa"/>
              <w:end w:w="120" w:type="dxa"/>
            </w:tcMar>
            <w:shd w:fill="EAF3F8"/>
            <w:vAlign w:val="center"/>
          </w:tcPr>
          <w:p>
            <w:pPr>
              <w:spacing w:after="0"/>
            </w:pPr>
            <w:r>
              <w:rPr>
                <w:b/>
                <w:sz w:val="20"/>
              </w:rPr>
              <w:t>Тавсия этиладиган вақт</w:t>
            </w:r>
          </w:p>
        </w:tc>
        <w:tc>
          <w:tcPr>
            <w:tcW w:type="dxa" w:w="7260"/>
            <w:tcMar>
              <w:top w:w="90" w:type="dxa"/>
              <w:start w:w="120" w:type="dxa"/>
              <w:bottom w:w="90" w:type="dxa"/>
              <w:end w:w="120" w:type="dxa"/>
            </w:tcMar>
            <w:vAlign w:val="center"/>
          </w:tcPr>
          <w:p>
            <w:pPr>
              <w:spacing w:after="0"/>
            </w:pPr>
            <w:r>
              <w:rPr>
                <w:sz w:val="20"/>
              </w:rPr>
              <w:t>25–30 дақиқа</w:t>
            </w:r>
          </w:p>
        </w:tc>
      </w:tr>
    </w:tbl>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E8F5E9"/>
            <w:vAlign w:val="center"/>
          </w:tcPr>
          <w:p>
            <w:pPr>
              <w:spacing w:after="0"/>
            </w:pPr>
            <w:r>
              <w:rPr>
                <w:b/>
                <w:color w:val="1F4E78"/>
              </w:rPr>
              <w:t>Асосий ғоя: ҳалоллик бир марталик шиор эмас — ҳар бир хизмат қарорида намоён бўладиган кундалик касбий позициядир.</w:t>
            </w:r>
          </w:p>
        </w:tc>
      </w:tr>
    </w:tbl>
    <w:p>
      <w:pPr>
        <w:pStyle w:val="Heading1"/>
      </w:pPr>
      <w:r>
        <w:t>Кириш</w:t>
      </w:r>
    </w:p>
    <w:p>
      <w:r>
        <w:t>Одил судловга ишонч судья ва суд ходимининг қонунга содиқлиги, холислиги ва ҳалоллиги билан белгиланади. Коррупция эса мазкур ишончни заифлаштиради, инсон ҳуқуқларининг таъминланишига ва қонун устуворлигига салбий таъсир кўрсатади.</w:t>
      </w:r>
    </w:p>
    <w:p>
      <w:r>
        <w:t>Коррупцияга муросасиз муносабат деганда фақат содир этилган ҳуқуқбузарликка жазо қўллаш эмас, балки коррупцияга олиб келувчи сабаб ва шарт-шароитларни олдиндан бартараф этиш ҳам тушунилади.</w:t>
      </w:r>
    </w:p>
    <w:p>
      <w:pPr>
        <w:pStyle w:val="Heading1"/>
      </w:pPr>
      <w:r>
        <w:t>Коррупциянинг хавфли оқибатлари</w:t>
      </w:r>
    </w:p>
    <w:p>
      <w:r>
        <w:t>Суд тизимидаги ҳар қандай коррупциявий ҳолат бир шахс ёки бир иш доирасида қолиб кетмайди. У бутун суд ҳокимиятининг обрўсига таъсир кўрсатади. Фуқаро қарорнинг қонунийлигига эмас, унинг ортида шахсий манфаат бор-йўқлигига шубҳа қила бошлайди.</w:t>
      </w:r>
    </w:p>
    <w:p>
      <w:pPr>
        <w:pStyle w:val="ListBullet"/>
        <w:spacing w:after="100"/>
        <w:ind w:left="720" w:hanging="360"/>
      </w:pPr>
      <w:r>
        <w:t>қарорларнинг холислигига шубҳа туғилади;</w:t>
      </w:r>
    </w:p>
    <w:p>
      <w:pPr>
        <w:pStyle w:val="ListBullet"/>
        <w:spacing w:after="100"/>
        <w:ind w:left="720" w:hanging="360"/>
      </w:pPr>
      <w:r>
        <w:t>фуқароларнинг судга ва давлатга ишончи пасаяди;</w:t>
      </w:r>
    </w:p>
    <w:p>
      <w:pPr>
        <w:pStyle w:val="ListBullet"/>
        <w:spacing w:after="100"/>
        <w:ind w:left="720" w:hanging="360"/>
      </w:pPr>
      <w:r>
        <w:t>тенглик ва адолат тамойиллари бузилади;</w:t>
      </w:r>
    </w:p>
    <w:p>
      <w:pPr>
        <w:pStyle w:val="ListBullet"/>
        <w:spacing w:after="100"/>
        <w:ind w:left="720" w:hanging="360"/>
      </w:pPr>
      <w:r>
        <w:t>ҳалол ходимларнинг меҳнати ва ташкилот нуфузига зарар етади.</w:t>
      </w:r>
    </w:p>
    <w:p>
      <w:pPr>
        <w:pStyle w:val="Heading1"/>
      </w:pPr>
      <w:r>
        <w:t>Муросасизлик нимадан бошланади?</w:t>
      </w:r>
    </w:p>
    <w:p>
      <w:r>
        <w:t>Муросасизлик — ноқонуний таклифга қатъий рад жавобини бериш, шахсий манфаатни яширмаслик, хизмат вазифасини таниш-билишчиликдан устун қўйиш ва қонунбузилишга бефарқ бўлмасликдир.</w:t>
      </w:r>
    </w:p>
    <w:p>
      <w:pPr>
        <w:pStyle w:val="ListBullet"/>
        <w:spacing w:after="100"/>
        <w:ind w:left="720" w:hanging="360"/>
      </w:pPr>
      <w:r>
        <w:t>совға, пул, хизмат ёки имтиёз кўринишидаги манфаатни қабул қилмаслик;</w:t>
      </w:r>
    </w:p>
    <w:p>
      <w:pPr>
        <w:pStyle w:val="ListBullet"/>
        <w:spacing w:after="100"/>
        <w:ind w:left="720" w:hanging="360"/>
      </w:pPr>
      <w:r>
        <w:t>ташқи босим ва аралашувга йўл қўймаслик;</w:t>
      </w:r>
    </w:p>
    <w:p>
      <w:pPr>
        <w:pStyle w:val="ListBullet"/>
        <w:spacing w:after="100"/>
        <w:ind w:left="720" w:hanging="360"/>
      </w:pPr>
      <w:r>
        <w:t>шубҳали ҳолатни белгиланган тартибда қайд этиш;</w:t>
      </w:r>
    </w:p>
    <w:p>
      <w:pPr>
        <w:pStyle w:val="ListBullet"/>
        <w:spacing w:after="100"/>
        <w:ind w:left="720" w:hanging="360"/>
      </w:pPr>
      <w:r>
        <w:t>коррупция факти ҳақида махсус алоқа канали орқали хабар бериш.</w:t>
      </w:r>
    </w:p>
    <w:p>
      <w:pPr>
        <w:pStyle w:val="Heading1"/>
      </w:pPr>
      <w:r>
        <w:t>Раҳбар ва жамоанинг роли</w:t>
      </w:r>
    </w:p>
    <w:p>
      <w:r>
        <w:t>Ташкилотда муросасиз муҳит фақат ички ҳужжат билан шаклланмайди. Раҳбарнинг шахсий намунаси, мурожаатларни холис кўриб чиқиш, ходимни ноқонуний босимдан ҳимоя қилиш ва ҳар бир ҳолат бўйича аниқ чора кўриш муҳим.</w:t>
      </w:r>
    </w:p>
    <w:p>
      <w:pPr>
        <w:pStyle w:val="ListBullet"/>
        <w:spacing w:after="100"/>
        <w:ind w:left="720" w:hanging="360"/>
      </w:pPr>
      <w:r>
        <w:t>ходимларни мунтазам ўқитиш ва амалий вазиятларни муҳокама қилиш;</w:t>
      </w:r>
    </w:p>
    <w:p>
      <w:pPr>
        <w:pStyle w:val="ListBullet"/>
        <w:spacing w:after="100"/>
        <w:ind w:left="720" w:hanging="360"/>
      </w:pPr>
      <w:r>
        <w:t>хабар бериш каналларининг ишончли ва махфий ишлашини таъминлаш;</w:t>
      </w:r>
    </w:p>
    <w:p>
      <w:pPr>
        <w:pStyle w:val="ListBullet"/>
        <w:spacing w:after="100"/>
        <w:ind w:left="720" w:hanging="360"/>
      </w:pPr>
      <w:r>
        <w:t>қоида бузилишига нисбатан лавозимдан қатъи назар бир хил муносабат билдириш.</w:t>
      </w:r>
    </w:p>
    <w:p>
      <w:pPr>
        <w:pStyle w:val="Heading1"/>
      </w:pPr>
      <w:r>
        <w:t>Муҳокама учун саволлар</w:t>
      </w:r>
    </w:p>
    <w:p>
      <w:pPr>
        <w:pStyle w:val="ListBullet"/>
        <w:spacing w:after="100"/>
        <w:ind w:left="720" w:hanging="360"/>
      </w:pPr>
      <w:r>
        <w:t>Коррупцияга нисбатан «нол тоқат» амалда нимани англатади?</w:t>
      </w:r>
    </w:p>
    <w:p>
      <w:pPr>
        <w:pStyle w:val="ListBullet"/>
        <w:spacing w:after="100"/>
        <w:ind w:left="720" w:hanging="360"/>
      </w:pPr>
      <w:r>
        <w:t>Ноқонуний таклифга дуч келган ходим биринчи навбатда нима қилиши керак?</w:t>
      </w:r>
    </w:p>
    <w:p>
      <w:pPr>
        <w:pStyle w:val="ListBullet"/>
        <w:spacing w:after="100"/>
        <w:ind w:left="720" w:hanging="360"/>
      </w:pPr>
      <w:r>
        <w:t>Жамоада ҳалоллик муҳитини кучайтириш учун қайси одатларни жорий этиш мумкин?</w:t>
      </w:r>
    </w:p>
    <w:p>
      <w:pPr>
        <w:pStyle w:val="Heading1"/>
      </w:pPr>
      <w:r>
        <w:t>Хулоса</w:t>
      </w:r>
    </w:p>
    <w:p>
      <w:r>
        <w:t>Коррупциянинг олдини олиш фақат назорат органларининг вазифаси эмас. Ҳар бир ходимнинг қонуний, холис ва очиқ ҳаракати суд ҳокимияти нуфузини мустаҳкамлайди. Шубҳали вазиятни ўз вақтида ошкор қилиш, манфаатлар тўқнашувидан четлашиш ва ноқонуний таклиф ҳақида хабар бериш — адолатни ҳимоя қилишнинг амалий шаклидир.</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FFF4D6"/>
            <w:vAlign w:val="center"/>
          </w:tcPr>
          <w:p>
            <w:pPr>
              <w:spacing w:after="0"/>
            </w:pPr>
            <w:r>
              <w:rPr>
                <w:b/>
                <w:color w:val="1F4E78"/>
              </w:rPr>
              <w:t>Якуний чақириқ: пора берманг, пора олманг, манфаатлар тўқнашувини яширманг ва қонунбузилиш ҳақида хабар беринг.</w:t>
            </w:r>
          </w:p>
        </w:tc>
      </w:tr>
    </w:tbl>
    <w:p>
      <w:pPr>
        <w:pStyle w:val="Heading1"/>
      </w:pPr>
      <w:r>
        <w:t>Фойдаланилган расмий манбалар</w:t>
      </w:r>
    </w:p>
    <w:p>
      <w:pPr>
        <w:spacing w:after="80"/>
      </w:pPr>
      <w:r>
        <w:rPr>
          <w:b/>
        </w:rPr>
        <w:t>1. Ўзбекистон Республикасининг «Коррупцияга қарши курашиш тўғрисида»ги Қонуни (ЎРҚ-419, 2017 йил 3 январь)</w:t>
        <w:br/>
      </w:r>
      <w:r>
        <w:rPr>
          <w:color w:val="1F4E78"/>
          <w:sz w:val="18"/>
        </w:rPr>
        <w:t>https://lex.uz/docs/3088008</w:t>
      </w:r>
    </w:p>
    <w:p>
      <w:pPr>
        <w:spacing w:after="80"/>
      </w:pPr>
      <w:r>
        <w:rPr>
          <w:b/>
        </w:rPr>
        <w:t>2. Суд тизимида манфаатлар тўқнашуви: зарурият ва аниқлик эҳтиёжи</w:t>
        <w:br/>
      </w:r>
      <w:r>
        <w:rPr>
          <w:color w:val="1F4E78"/>
          <w:sz w:val="18"/>
        </w:rPr>
        <w:t>https://sudyalaroliykengashi.uz/uz/news/964</w:t>
      </w:r>
    </w:p>
    <w:p>
      <w:pPr>
        <w:spacing w:after="80"/>
      </w:pPr>
      <w:r>
        <w:rPr>
          <w:b/>
        </w:rPr>
        <w:t>3. Судларда коррупция фактлари тўғрисида шикоятларни йўллаш</w:t>
        <w:br/>
      </w:r>
      <w:r>
        <w:rPr>
          <w:color w:val="1F4E78"/>
          <w:sz w:val="18"/>
        </w:rPr>
        <w:t>https://sudyalaroliykengashi.uz/uz/submission</w:t>
      </w:r>
    </w:p>
    <w:sectPr w:rsidR="00FC693F" w:rsidRPr="0006063C" w:rsidSect="00034616">
      <w:headerReference w:type="default" r:id="rId9"/>
      <w:footerReference w:type="default" r:id="rId10"/>
      <w:pgSz w:w="12240" w:h="15840"/>
      <w:pgMar w:top="1123" w:right="1224" w:bottom="1123"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E78"/>
        <w:sz w:val="17"/>
      </w:rPr>
      <w:t>Ўзбекистон Республикаси Судьялар олий кенгаши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E78"/>
        <w:sz w:val="17"/>
      </w:rPr>
      <w:t>7.9-БАНД • КОРРУПЦИЯГА ҚАРШИ ТАРҒИБОТ</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F4E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E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Коррупцияга муросасизлик — одил судловга ишонч асоси</dc:title>
  <dc:subject/>
  <dc:creator>Ўзбекистон Республикаси Судьялар олий кенгаши</dc:creator>
  <cp:keywords/>
  <dc:description>generated by python-docx</dc:description>
  <cp:lastModifiedBy/>
  <cp:revision>1</cp:revision>
  <dcterms:created xsi:type="dcterms:W3CDTF">2013-12-23T23:15:00Z</dcterms:created>
  <dcterms:modified xsi:type="dcterms:W3CDTF">2013-12-23T23:15:00Z</dcterms:modified>
  <cp:category/>
</cp:coreProperties>
</file>