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120"/>
      </w:pPr>
      <w:r>
        <w:rPr>
          <w:b/>
          <w:color w:val="2A9D8F"/>
          <w:sz w:val="26"/>
        </w:rPr>
        <w:t>МАЪРУЗА МАТНИ</w:t>
      </w:r>
    </w:p>
    <w:p>
      <w:pPr>
        <w:spacing w:after="280"/>
      </w:pPr>
      <w:r>
        <w:rPr>
          <w:b/>
          <w:color w:val="1F4E78"/>
          <w:sz w:val="46"/>
        </w:rPr>
        <w:t>Манфаатлар тўқнашувини аниқлаш ва бошқариш</w:t>
      </w:r>
    </w:p>
    <w:tbl>
      <w:tblPr>
        <w:tblStyle w:val="TableGrid"/>
        <w:tblW w:type="dxa" w:w="9360"/>
        <w:tblLayout w:type="fixed"/>
        <w:tblLook w:firstColumn="1" w:firstRow="1" w:lastColumn="0" w:lastRow="0" w:noHBand="0" w:noVBand="1" w:val="04A0"/>
        <w:tblInd w:w="120" w:type="dxa"/>
      </w:tblPr>
      <w:tblGrid>
        <w:gridCol w:w="2100"/>
        <w:gridCol w:w="7260"/>
      </w:tblGrid>
      <w:tr>
        <w:tc>
          <w:tcPr>
            <w:tcW w:type="dxa" w:w="2100"/>
            <w:tcMar>
              <w:top w:w="90" w:type="dxa"/>
              <w:start w:w="120" w:type="dxa"/>
              <w:bottom w:w="90" w:type="dxa"/>
              <w:end w:w="120" w:type="dxa"/>
            </w:tcMar>
            <w:shd w:fill="EAF3F8"/>
            <w:vAlign w:val="center"/>
          </w:tcPr>
          <w:p>
            <w:pPr>
              <w:spacing w:after="0"/>
            </w:pPr>
            <w:r>
              <w:rPr>
                <w:b/>
                <w:sz w:val="20"/>
              </w:rPr>
              <w:t>Мақсад</w:t>
            </w:r>
          </w:p>
        </w:tc>
        <w:tc>
          <w:tcPr>
            <w:tcW w:type="dxa" w:w="7260"/>
            <w:tcMar>
              <w:top w:w="90" w:type="dxa"/>
              <w:start w:w="120" w:type="dxa"/>
              <w:bottom w:w="90" w:type="dxa"/>
              <w:end w:w="120" w:type="dxa"/>
            </w:tcMar>
            <w:vAlign w:val="center"/>
          </w:tcPr>
          <w:p>
            <w:pPr>
              <w:spacing w:after="0"/>
            </w:pPr>
            <w:r>
              <w:rPr>
                <w:sz w:val="20"/>
              </w:rPr>
              <w:t>манфаатлар тўқнашувининг белгилари, турлари ва уни бошқариш алгоритмини тушунтириш</w:t>
            </w:r>
          </w:p>
        </w:tc>
      </w:tr>
      <w:tr>
        <w:tc>
          <w:tcPr>
            <w:tcW w:type="dxa" w:w="2100"/>
            <w:tcMar>
              <w:top w:w="90" w:type="dxa"/>
              <w:start w:w="120" w:type="dxa"/>
              <w:bottom w:w="90" w:type="dxa"/>
              <w:end w:w="120" w:type="dxa"/>
            </w:tcMar>
            <w:shd w:fill="EAF3F8"/>
            <w:vAlign w:val="center"/>
          </w:tcPr>
          <w:p>
            <w:pPr>
              <w:spacing w:after="0"/>
            </w:pPr>
            <w:r>
              <w:rPr>
                <w:b/>
                <w:sz w:val="20"/>
              </w:rPr>
              <w:t>Мўлжалланган аудитория</w:t>
            </w:r>
          </w:p>
        </w:tc>
        <w:tc>
          <w:tcPr>
            <w:tcW w:type="dxa" w:w="7260"/>
            <w:tcMar>
              <w:top w:w="90" w:type="dxa"/>
              <w:start w:w="120" w:type="dxa"/>
              <w:bottom w:w="90" w:type="dxa"/>
              <w:end w:w="120" w:type="dxa"/>
            </w:tcMar>
            <w:vAlign w:val="center"/>
          </w:tcPr>
          <w:p>
            <w:pPr>
              <w:spacing w:after="0"/>
            </w:pPr>
            <w:r>
              <w:rPr>
                <w:sz w:val="20"/>
              </w:rPr>
              <w:t>судьялар, суд аппарати ва Кенгаш ходимлари</w:t>
            </w:r>
          </w:p>
        </w:tc>
      </w:tr>
      <w:tr>
        <w:tc>
          <w:tcPr>
            <w:tcW w:type="dxa" w:w="2100"/>
            <w:tcMar>
              <w:top w:w="90" w:type="dxa"/>
              <w:start w:w="120" w:type="dxa"/>
              <w:bottom w:w="90" w:type="dxa"/>
              <w:end w:w="120" w:type="dxa"/>
            </w:tcMar>
            <w:shd w:fill="EAF3F8"/>
            <w:vAlign w:val="center"/>
          </w:tcPr>
          <w:p>
            <w:pPr>
              <w:spacing w:after="0"/>
            </w:pPr>
            <w:r>
              <w:rPr>
                <w:b/>
                <w:sz w:val="20"/>
              </w:rPr>
              <w:t>Тавсия этиладиган вақт</w:t>
            </w:r>
          </w:p>
        </w:tc>
        <w:tc>
          <w:tcPr>
            <w:tcW w:type="dxa" w:w="7260"/>
            <w:tcMar>
              <w:top w:w="90" w:type="dxa"/>
              <w:start w:w="120" w:type="dxa"/>
              <w:bottom w:w="90" w:type="dxa"/>
              <w:end w:w="120" w:type="dxa"/>
            </w:tcMar>
            <w:vAlign w:val="center"/>
          </w:tcPr>
          <w:p>
            <w:pPr>
              <w:spacing w:after="0"/>
            </w:pPr>
            <w:r>
              <w:rPr>
                <w:sz w:val="20"/>
              </w:rPr>
              <w:t>30–35 дақиқа</w:t>
            </w:r>
          </w:p>
        </w:tc>
      </w:tr>
    </w:tbl>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E8F5E9"/>
            <w:vAlign w:val="center"/>
          </w:tcPr>
          <w:p>
            <w:pPr>
              <w:spacing w:after="0"/>
            </w:pPr>
            <w:r>
              <w:rPr>
                <w:b/>
                <w:color w:val="1F4E78"/>
              </w:rPr>
              <w:t>Асосий ғоя: ҳалоллик бир марталик шиор эмас — ҳар бир хизмат қарорида намоён бўладиган кундалик касбий позициядир.</w:t>
            </w:r>
          </w:p>
        </w:tc>
      </w:tr>
    </w:tbl>
    <w:p>
      <w:pPr>
        <w:pStyle w:val="Heading1"/>
      </w:pPr>
      <w:r>
        <w:t>Тушунча ва моҳият</w:t>
      </w:r>
    </w:p>
    <w:p>
      <w:r>
        <w:t>Манфаатлар тўқнашуви — шахснинг шахсий манфаатдорлиги унинг хизмат мажбуриятларини лозим даражада бажаришига таъсир қилаётган ёки таъсир қилиши мумкин бўлган вазиятдир. Бу ҳолат ўз-ўзидан коррупция содир этилганини англатмаслиги мумкин, аммо у яширилса ёки нотўғри бошқарилса, коррупциявий қарор учун шароит яратади.</w:t>
      </w:r>
    </w:p>
    <w:p>
      <w:pPr>
        <w:pStyle w:val="ListBullet"/>
        <w:spacing w:after="100"/>
        <w:ind w:left="720" w:hanging="360"/>
      </w:pPr>
      <w:r>
        <w:t>ҳақиқий манфаатлар тўқнашуви — шахсий манфаат қарорга ҳозир таъсир қилмоқда;</w:t>
      </w:r>
    </w:p>
    <w:p>
      <w:pPr>
        <w:pStyle w:val="ListBullet"/>
        <w:spacing w:after="100"/>
        <w:ind w:left="720" w:hanging="360"/>
      </w:pPr>
      <w:r>
        <w:t>эҳтимолий манфаатлар тўқнашуви — вазият келгусида таъсир қилиши мумкин;</w:t>
      </w:r>
    </w:p>
    <w:p>
      <w:pPr>
        <w:pStyle w:val="ListBullet"/>
        <w:spacing w:after="100"/>
        <w:ind w:left="720" w:hanging="360"/>
      </w:pPr>
      <w:r>
        <w:t>ташқи кўринишдаги тўқнашув — холисликка асосли шубҳа туғилади.</w:t>
      </w:r>
    </w:p>
    <w:p>
      <w:pPr>
        <w:pStyle w:val="Heading1"/>
      </w:pPr>
      <w:r>
        <w:t>Суд тизимида учраши мумкин бўлган ҳолатлар</w:t>
      </w:r>
    </w:p>
    <w:p>
      <w:r>
        <w:t>Судья ва суд ходимининг фаолияти юқори даражадаги холисликни талаб қилади. Нафақат ҳақиқий таъсир, балки ташқи кузатувчида холисликка шубҳа туғдирувчи алоқа ҳам эътибордан четда қолмаслиги керак.</w:t>
      </w:r>
    </w:p>
    <w:p>
      <w:pPr>
        <w:pStyle w:val="ListBullet"/>
        <w:spacing w:after="100"/>
        <w:ind w:left="720" w:hanging="360"/>
      </w:pPr>
      <w:r>
        <w:t>иш иштирокчиси ёки унинг вакили билан яқин қариндошлик ёки шахсий алоқа;</w:t>
      </w:r>
    </w:p>
    <w:p>
      <w:pPr>
        <w:pStyle w:val="ListBullet"/>
        <w:spacing w:after="100"/>
        <w:ind w:left="720" w:hanging="360"/>
      </w:pPr>
      <w:r>
        <w:t>қарор натижасидан ходим ёки унинг яқинлари моддий манфаат олиши;</w:t>
      </w:r>
    </w:p>
    <w:p>
      <w:pPr>
        <w:pStyle w:val="ListBullet"/>
        <w:spacing w:after="100"/>
        <w:ind w:left="720" w:hanging="360"/>
      </w:pPr>
      <w:r>
        <w:t>таниш ёки раҳбарнинг муайян қарорни қабул қилишга таъсир кўрсатишга уриниши;</w:t>
      </w:r>
    </w:p>
    <w:p>
      <w:pPr>
        <w:pStyle w:val="ListBullet"/>
        <w:spacing w:after="100"/>
        <w:ind w:left="720" w:hanging="360"/>
      </w:pPr>
      <w:r>
        <w:t>совға, меҳмондўстлик, имтиёз ёки хизмат таклиф қилиниши.</w:t>
      </w:r>
    </w:p>
    <w:p>
      <w:pPr>
        <w:pStyle w:val="Heading1"/>
      </w:pPr>
      <w:r>
        <w:t>Аниқлаш учун тўрт савол</w:t>
      </w:r>
    </w:p>
    <w:p>
      <w:pPr>
        <w:pStyle w:val="ListBullet"/>
        <w:spacing w:after="100"/>
        <w:ind w:left="720" w:hanging="360"/>
      </w:pPr>
      <w:r>
        <w:t>Мен ёки яқинларим ушбу қарордан манфаат оладими?</w:t>
      </w:r>
    </w:p>
    <w:p>
      <w:pPr>
        <w:pStyle w:val="ListBullet"/>
        <w:spacing w:after="100"/>
        <w:ind w:left="720" w:hanging="360"/>
      </w:pPr>
      <w:r>
        <w:t>Холислигимга ташқи томондан шубҳа туғилиши мумкинми?</w:t>
      </w:r>
    </w:p>
    <w:p>
      <w:pPr>
        <w:pStyle w:val="ListBullet"/>
        <w:spacing w:after="100"/>
        <w:ind w:left="720" w:hanging="360"/>
      </w:pPr>
      <w:r>
        <w:t>Ушбу муносабатни раҳбаримдан яширишга эҳтиёж сезяпманми?</w:t>
      </w:r>
    </w:p>
    <w:p>
      <w:pPr>
        <w:pStyle w:val="ListBullet"/>
        <w:spacing w:after="100"/>
        <w:ind w:left="720" w:hanging="360"/>
      </w:pPr>
      <w:r>
        <w:t>Қарор оммага маълум бўлса, уни қонуний ва холис деб асослай оламанми?</w:t>
      </w:r>
    </w:p>
    <w:p>
      <w:pPr>
        <w:pStyle w:val="Heading1"/>
      </w:pPr>
      <w:r>
        <w:t>Бошқариш алгоритми</w:t>
      </w:r>
    </w:p>
    <w:p>
      <w:r>
        <w:t>Манфаатлар тўқнашувини ошкор қилиш айбни тан олиш эмас. Бу ходимнинг ўз холислигини, қарорнинг қонунийлигини ва ташкилот нуфузини ҳимоя қилиш чорасидир.</w:t>
      </w:r>
    </w:p>
    <w:p>
      <w:pPr>
        <w:pStyle w:val="ListBullet"/>
        <w:spacing w:after="100"/>
        <w:ind w:left="720" w:hanging="360"/>
      </w:pPr>
      <w:r>
        <w:t>аниқлаш — шахсий манфаат ва хизмат вазифаси кесишган нуқтани белгилаш;</w:t>
      </w:r>
    </w:p>
    <w:p>
      <w:pPr>
        <w:pStyle w:val="ListBullet"/>
        <w:spacing w:after="100"/>
        <w:ind w:left="720" w:hanging="360"/>
      </w:pPr>
      <w:r>
        <w:t>ошкор қилиш — ҳолат ҳақида раҳбар ёки масъул тузилмага кечиктирмасдан ёзма хабар бериш;</w:t>
      </w:r>
    </w:p>
    <w:p>
      <w:pPr>
        <w:pStyle w:val="ListBullet"/>
        <w:spacing w:after="100"/>
        <w:ind w:left="720" w:hanging="360"/>
      </w:pPr>
      <w:r>
        <w:t>четлашиш — масала ҳал этилгунга қадар қарор қабул қилишда иштирок этмаслик;</w:t>
      </w:r>
    </w:p>
    <w:p>
      <w:pPr>
        <w:pStyle w:val="ListBullet"/>
        <w:spacing w:after="100"/>
        <w:ind w:left="720" w:hanging="360"/>
      </w:pPr>
      <w:r>
        <w:t>ҳужжатлаштириш — қабул қилинган чора ва натижани расмий қайд этиш.</w:t>
      </w:r>
    </w:p>
    <w:p>
      <w:pPr>
        <w:pStyle w:val="Heading1"/>
      </w:pPr>
      <w:r>
        <w:t>Муҳокама учун саволлар</w:t>
      </w:r>
    </w:p>
    <w:p>
      <w:pPr>
        <w:pStyle w:val="ListBullet"/>
        <w:spacing w:after="100"/>
        <w:ind w:left="720" w:hanging="360"/>
      </w:pPr>
      <w:r>
        <w:t>Манфаатлар тўқнашуви билан коррупция ўртасида қандай фарқ бор?</w:t>
      </w:r>
    </w:p>
    <w:p>
      <w:pPr>
        <w:pStyle w:val="ListBullet"/>
        <w:spacing w:after="100"/>
        <w:ind w:left="720" w:hanging="360"/>
      </w:pPr>
      <w:r>
        <w:t>Ташқи кўринишдаги манфаатлар тўқнашуви нега муҳим?</w:t>
      </w:r>
    </w:p>
    <w:p>
      <w:pPr>
        <w:pStyle w:val="ListBullet"/>
        <w:spacing w:after="100"/>
        <w:ind w:left="720" w:hanging="360"/>
      </w:pPr>
      <w:r>
        <w:t>Ўз вақтида ошкор қилиш ходим ва ташкилотни қандай ҳимоя қилади?</w:t>
      </w:r>
    </w:p>
    <w:p>
      <w:pPr>
        <w:pStyle w:val="Heading1"/>
      </w:pPr>
      <w:r>
        <w:t>Хулоса</w:t>
      </w:r>
    </w:p>
    <w:p>
      <w:r>
        <w:t>Коррупциянинг олдини олиш фақат назорат органларининг вазифаси эмас. Ҳар бир ходимнинг қонуний, холис ва очиқ ҳаракати суд ҳокимияти нуфузини мустаҳкамлайди. Шубҳали вазиятни ўз вақтида ошкор қилиш, манфаатлар тўқнашувидан четлашиш ва ноқонуний таклиф ҳақида хабар бериш — адолатни ҳимоя қилишнинг амалий шаклидир.</w:t>
      </w:r>
    </w:p>
    <w:tbl>
      <w:tblPr>
        <w:tblStyle w:val="TableGrid"/>
        <w:tblW w:type="dxa" w:w="9360"/>
        <w:jc w:val="center"/>
        <w:tblLayout w:type="fixed"/>
        <w:tblLook w:firstColumn="1" w:firstRow="1" w:lastColumn="0" w:lastRow="0" w:noHBand="0" w:noVBand="1" w:val="04A0"/>
        <w:tblInd w:w="120" w:type="dxa"/>
      </w:tblPr>
      <w:tblGrid>
        <w:gridCol w:w="9360"/>
      </w:tblGrid>
      <w:tr>
        <w:tc>
          <w:tcPr>
            <w:tcW w:type="dxa" w:w="9360"/>
            <w:tcMar>
              <w:top w:w="90" w:type="dxa"/>
              <w:start w:w="120" w:type="dxa"/>
              <w:bottom w:w="90" w:type="dxa"/>
              <w:end w:w="120" w:type="dxa"/>
            </w:tcMar>
            <w:shd w:fill="FFF4D6"/>
            <w:vAlign w:val="center"/>
          </w:tcPr>
          <w:p>
            <w:pPr>
              <w:spacing w:after="0"/>
            </w:pPr>
            <w:r>
              <w:rPr>
                <w:b/>
                <w:color w:val="1F4E78"/>
              </w:rPr>
              <w:t>Якуний чақириқ: пора берманг, пора олманг, манфаатлар тўқнашувини яширманг ва қонунбузилиш ҳақида хабар беринг.</w:t>
            </w:r>
          </w:p>
        </w:tc>
      </w:tr>
    </w:tbl>
    <w:p>
      <w:pPr>
        <w:pStyle w:val="Heading1"/>
      </w:pPr>
      <w:r>
        <w:t>Фойдаланилган расмий манбалар</w:t>
      </w:r>
    </w:p>
    <w:p>
      <w:pPr>
        <w:spacing w:after="80"/>
      </w:pPr>
      <w:r>
        <w:rPr>
          <w:b/>
        </w:rPr>
        <w:t>1. Ўзбекистон Республикасининг «Коррупцияга қарши курашиш тўғрисида»ги Қонуни (ЎРҚ-419, 2017 йил 3 январь)</w:t>
        <w:br/>
      </w:r>
      <w:r>
        <w:rPr>
          <w:color w:val="1F4E78"/>
          <w:sz w:val="18"/>
        </w:rPr>
        <w:t>https://lex.uz/docs/3088008</w:t>
      </w:r>
    </w:p>
    <w:p>
      <w:pPr>
        <w:spacing w:after="80"/>
      </w:pPr>
      <w:r>
        <w:rPr>
          <w:b/>
        </w:rPr>
        <w:t>2. Суд тизимида манфаатлар тўқнашуви: зарурият ва аниқлик эҳтиёжи</w:t>
        <w:br/>
      </w:r>
      <w:r>
        <w:rPr>
          <w:color w:val="1F4E78"/>
          <w:sz w:val="18"/>
        </w:rPr>
        <w:t>https://sudyalaroliykengashi.uz/uz/news/964</w:t>
      </w:r>
    </w:p>
    <w:p>
      <w:pPr>
        <w:spacing w:after="80"/>
      </w:pPr>
      <w:r>
        <w:rPr>
          <w:b/>
        </w:rPr>
        <w:t>3. Судларда коррупция фактлари тўғрисида шикоятларни йўллаш</w:t>
        <w:br/>
      </w:r>
      <w:r>
        <w:rPr>
          <w:color w:val="1F4E78"/>
          <w:sz w:val="18"/>
        </w:rPr>
        <w:t>https://sudyalaroliykengashi.uz/uz/submission</w:t>
      </w:r>
    </w:p>
    <w:sectPr w:rsidR="00FC693F" w:rsidRPr="0006063C" w:rsidSect="00034616">
      <w:headerReference w:type="default" r:id="rId9"/>
      <w:footerReference w:type="default" r:id="rId10"/>
      <w:pgSz w:w="12240" w:h="15840"/>
      <w:pgMar w:top="1123" w:right="1224" w:bottom="1123" w:left="1224"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E78"/>
        <w:sz w:val="17"/>
      </w:rPr>
      <w:t>Ўзбекистон Республикаси Судьялар олий кенгаши</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E78"/>
        <w:sz w:val="17"/>
      </w:rPr>
      <w:t>7.9-БАНД • КОРРУПЦИЯГА ҚАРШИ ТАРҒИБОТ</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F4E7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F4E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E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Манфаатлар тўқнашувини аниқлаш ва бошқариш</dc:title>
  <dc:subject/>
  <dc:creator>Ўзбекистон Республикаси Судьялар олий кенгаши</dc:creator>
  <cp:keywords/>
  <dc:description>generated by python-docx</dc:description>
  <cp:lastModifiedBy/>
  <cp:revision>1</cp:revision>
  <dcterms:created xsi:type="dcterms:W3CDTF">2013-12-23T23:15:00Z</dcterms:created>
  <dcterms:modified xsi:type="dcterms:W3CDTF">2013-12-23T23:15:00Z</dcterms:modified>
  <cp:category/>
</cp:coreProperties>
</file>