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120"/>
      </w:pPr>
      <w:r>
        <w:rPr>
          <w:b/>
          <w:color w:val="2A9D8F"/>
          <w:sz w:val="26"/>
        </w:rPr>
        <w:t>МАЪРУЗА МАТНИ</w:t>
      </w:r>
    </w:p>
    <w:p>
      <w:pPr>
        <w:spacing w:after="280"/>
      </w:pPr>
      <w:r>
        <w:rPr>
          <w:b/>
          <w:color w:val="1F4E78"/>
          <w:sz w:val="46"/>
        </w:rPr>
        <w:t>Суд тизимида коррупциявий хавфларнинг олдини олиш ва хабар бериш тартиби</w:t>
      </w:r>
    </w:p>
    <w:tbl>
      <w:tblPr>
        <w:tblStyle w:val="TableGrid"/>
        <w:tblW w:type="dxa" w:w="9360"/>
        <w:tblLayout w:type="fixed"/>
        <w:tblLook w:firstColumn="1" w:firstRow="1" w:lastColumn="0" w:lastRow="0" w:noHBand="0" w:noVBand="1" w:val="04A0"/>
        <w:tblInd w:w="120" w:type="dxa"/>
      </w:tblPr>
      <w:tblGrid>
        <w:gridCol w:w="2100"/>
        <w:gridCol w:w="7260"/>
      </w:tblGrid>
      <w:tr>
        <w:tc>
          <w:tcPr>
            <w:tcW w:type="dxa" w:w="2100"/>
            <w:tcMar>
              <w:top w:w="90" w:type="dxa"/>
              <w:start w:w="120" w:type="dxa"/>
              <w:bottom w:w="90" w:type="dxa"/>
              <w:end w:w="120" w:type="dxa"/>
            </w:tcMar>
            <w:shd w:fill="EAF3F8"/>
            <w:vAlign w:val="center"/>
          </w:tcPr>
          <w:p>
            <w:pPr>
              <w:spacing w:after="0"/>
            </w:pPr>
            <w:r>
              <w:rPr>
                <w:b/>
                <w:sz w:val="20"/>
              </w:rPr>
              <w:t>Мақсад</w:t>
            </w:r>
          </w:p>
        </w:tc>
        <w:tc>
          <w:tcPr>
            <w:tcW w:type="dxa" w:w="7260"/>
            <w:tcMar>
              <w:top w:w="90" w:type="dxa"/>
              <w:start w:w="120" w:type="dxa"/>
              <w:bottom w:w="90" w:type="dxa"/>
              <w:end w:w="120" w:type="dxa"/>
            </w:tcMar>
            <w:vAlign w:val="center"/>
          </w:tcPr>
          <w:p>
            <w:pPr>
              <w:spacing w:after="0"/>
            </w:pPr>
            <w:r>
              <w:rPr>
                <w:sz w:val="20"/>
              </w:rPr>
              <w:t>коррупциявий хавфларни эрта аниқлаш, далилларни сақлаш ва хавфсиз хабар бериш кўникмасини шакллантириш</w:t>
            </w:r>
          </w:p>
        </w:tc>
      </w:tr>
      <w:tr>
        <w:tc>
          <w:tcPr>
            <w:tcW w:type="dxa" w:w="2100"/>
            <w:tcMar>
              <w:top w:w="90" w:type="dxa"/>
              <w:start w:w="120" w:type="dxa"/>
              <w:bottom w:w="90" w:type="dxa"/>
              <w:end w:w="120" w:type="dxa"/>
            </w:tcMar>
            <w:shd w:fill="EAF3F8"/>
            <w:vAlign w:val="center"/>
          </w:tcPr>
          <w:p>
            <w:pPr>
              <w:spacing w:after="0"/>
            </w:pPr>
            <w:r>
              <w:rPr>
                <w:b/>
                <w:sz w:val="20"/>
              </w:rPr>
              <w:t>Мўлжалланган аудитория</w:t>
            </w:r>
          </w:p>
        </w:tc>
        <w:tc>
          <w:tcPr>
            <w:tcW w:type="dxa" w:w="7260"/>
            <w:tcMar>
              <w:top w:w="90" w:type="dxa"/>
              <w:start w:w="120" w:type="dxa"/>
              <w:bottom w:w="90" w:type="dxa"/>
              <w:end w:w="120" w:type="dxa"/>
            </w:tcMar>
            <w:vAlign w:val="center"/>
          </w:tcPr>
          <w:p>
            <w:pPr>
              <w:spacing w:after="0"/>
            </w:pPr>
            <w:r>
              <w:rPr>
                <w:sz w:val="20"/>
              </w:rPr>
              <w:t>судьялар, суд аппарати ва Кенгаш ходимлари</w:t>
            </w:r>
          </w:p>
        </w:tc>
      </w:tr>
      <w:tr>
        <w:tc>
          <w:tcPr>
            <w:tcW w:type="dxa" w:w="2100"/>
            <w:tcMar>
              <w:top w:w="90" w:type="dxa"/>
              <w:start w:w="120" w:type="dxa"/>
              <w:bottom w:w="90" w:type="dxa"/>
              <w:end w:w="120" w:type="dxa"/>
            </w:tcMar>
            <w:shd w:fill="EAF3F8"/>
            <w:vAlign w:val="center"/>
          </w:tcPr>
          <w:p>
            <w:pPr>
              <w:spacing w:after="0"/>
            </w:pPr>
            <w:r>
              <w:rPr>
                <w:b/>
                <w:sz w:val="20"/>
              </w:rPr>
              <w:t>Тавсия этиладиган вақт</w:t>
            </w:r>
          </w:p>
        </w:tc>
        <w:tc>
          <w:tcPr>
            <w:tcW w:type="dxa" w:w="7260"/>
            <w:tcMar>
              <w:top w:w="90" w:type="dxa"/>
              <w:start w:w="120" w:type="dxa"/>
              <w:bottom w:w="90" w:type="dxa"/>
              <w:end w:w="120" w:type="dxa"/>
            </w:tcMar>
            <w:vAlign w:val="center"/>
          </w:tcPr>
          <w:p>
            <w:pPr>
              <w:spacing w:after="0"/>
            </w:pPr>
            <w:r>
              <w:rPr>
                <w:sz w:val="20"/>
              </w:rPr>
              <w:t>30–35 дақиқа</w:t>
            </w:r>
          </w:p>
        </w:tc>
      </w:tr>
    </w:tbl>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E8F5E9"/>
            <w:vAlign w:val="center"/>
          </w:tcPr>
          <w:p>
            <w:pPr>
              <w:spacing w:after="0"/>
            </w:pPr>
            <w:r>
              <w:rPr>
                <w:b/>
                <w:color w:val="1F4E78"/>
              </w:rPr>
              <w:t>Асосий ғоя: ҳалоллик бир марталик шиор эмас — ҳар бир хизмат қарорида намоён бўладиган кундалик касбий позициядир.</w:t>
            </w:r>
          </w:p>
        </w:tc>
      </w:tr>
    </w:tbl>
    <w:p>
      <w:pPr>
        <w:pStyle w:val="Heading1"/>
      </w:pPr>
      <w:r>
        <w:t>Коррупциявий хавф нима?</w:t>
      </w:r>
    </w:p>
    <w:p>
      <w:r>
        <w:t>Коррупциявий хавф — хизмат ваколати, қарор қабул қилиш ёки ресурсларни бошқариш жараёнида шахсий манфаат таъсири пайдо бўлиши эҳтимолидир. Хавфни эрта аниқлаш ҳуқуқбузарлик содир бўлгандан кейин чора кўришдан кўра самаралироқ.</w:t>
      </w:r>
    </w:p>
    <w:p>
      <w:pPr>
        <w:pStyle w:val="ListBullet"/>
        <w:spacing w:after="100"/>
        <w:ind w:left="720" w:hanging="360"/>
      </w:pPr>
      <w:r>
        <w:t>қарор қабул қилиш мезонларининг ноаниқлиги;</w:t>
      </w:r>
    </w:p>
    <w:p>
      <w:pPr>
        <w:pStyle w:val="ListBullet"/>
        <w:spacing w:after="100"/>
        <w:ind w:left="720" w:hanging="360"/>
      </w:pPr>
      <w:r>
        <w:t>бир шахс қўлида ортиқча ваколат ва назоратнинг жамланиши;</w:t>
      </w:r>
    </w:p>
    <w:p>
      <w:pPr>
        <w:pStyle w:val="ListBullet"/>
        <w:spacing w:after="100"/>
        <w:ind w:left="720" w:hanging="360"/>
      </w:pPr>
      <w:r>
        <w:t>жараёнлар ҳужжатлаштирилмаслиги ёки маълумотнинг ёпиқлиги;</w:t>
      </w:r>
    </w:p>
    <w:p>
      <w:pPr>
        <w:pStyle w:val="ListBullet"/>
        <w:spacing w:after="100"/>
        <w:ind w:left="720" w:hanging="360"/>
      </w:pPr>
      <w:r>
        <w:t>совға, таниш-билишчилик ва ташқи таъсирга йўл очувчи амалиётлар.</w:t>
      </w:r>
    </w:p>
    <w:p>
      <w:pPr>
        <w:pStyle w:val="Heading1"/>
      </w:pPr>
      <w:r>
        <w:t>Профилактика чоралари</w:t>
      </w:r>
    </w:p>
    <w:p>
      <w:r>
        <w:t>Коррупциявий хавфни камайтириш учун жараён олдиндан тушунарли, текшириладиган ва ҳужжатлаштирилган бўлиши керак. Ҳар бир ходим ўз ваколати, чекловлари ва хабар бериш тартибини билиши зарур.</w:t>
      </w:r>
    </w:p>
    <w:p>
      <w:pPr>
        <w:pStyle w:val="ListBullet"/>
        <w:spacing w:after="100"/>
        <w:ind w:left="720" w:hanging="360"/>
      </w:pPr>
      <w:r>
        <w:t>вазифалар ва қарор қабул қилиш ваколатларини аниқ тақсимлаш;</w:t>
      </w:r>
    </w:p>
    <w:p>
      <w:pPr>
        <w:pStyle w:val="ListBullet"/>
        <w:spacing w:after="100"/>
        <w:ind w:left="720" w:hanging="360"/>
      </w:pPr>
      <w:r>
        <w:t>қарорларнинг асоси ва қабул қилиш жараёнини ёзма қайд этиш;</w:t>
      </w:r>
    </w:p>
    <w:p>
      <w:pPr>
        <w:pStyle w:val="ListBullet"/>
        <w:spacing w:after="100"/>
        <w:ind w:left="720" w:hanging="360"/>
      </w:pPr>
      <w:r>
        <w:t>икки босқичли текширув ва манфаатлар тўқнашувини декларация қилиш;</w:t>
      </w:r>
    </w:p>
    <w:p>
      <w:pPr>
        <w:pStyle w:val="ListBullet"/>
        <w:spacing w:after="100"/>
        <w:ind w:left="720" w:hanging="360"/>
      </w:pPr>
      <w:r>
        <w:t>ходимларни амалий кейслар асосида мунтазам ўқитиш.</w:t>
      </w:r>
    </w:p>
    <w:p>
      <w:pPr>
        <w:pStyle w:val="Heading1"/>
      </w:pPr>
      <w:r>
        <w:t>Хабар беришдаги 7 амалий қадам</w:t>
      </w:r>
    </w:p>
    <w:p>
      <w:pPr>
        <w:pStyle w:val="ListBullet"/>
        <w:spacing w:after="100"/>
        <w:ind w:left="720" w:hanging="360"/>
      </w:pPr>
      <w:r>
        <w:t>хотиржамликни сақлаш ва ноқонуний талабга рози бўлмаслик;</w:t>
      </w:r>
    </w:p>
    <w:p>
      <w:pPr>
        <w:pStyle w:val="ListBullet"/>
        <w:spacing w:after="100"/>
        <w:ind w:left="720" w:hanging="360"/>
      </w:pPr>
      <w:r>
        <w:t>пора ёки бошқа манфаатни шахсан ёки воситачи орқали таклиф қилмаслик;</w:t>
      </w:r>
    </w:p>
    <w:p>
      <w:pPr>
        <w:pStyle w:val="ListBullet"/>
        <w:spacing w:after="100"/>
        <w:ind w:left="720" w:hanging="360"/>
      </w:pPr>
      <w:r>
        <w:t>воқеа санаси, вақти, жойи ва иштирокчиларни қайд этиш;</w:t>
      </w:r>
    </w:p>
    <w:p>
      <w:pPr>
        <w:pStyle w:val="ListBullet"/>
        <w:spacing w:after="100"/>
        <w:ind w:left="720" w:hanging="360"/>
      </w:pPr>
      <w:r>
        <w:t>қонуний йўл билан мавжуд далил ва ҳужжатларни сақлаш;</w:t>
      </w:r>
    </w:p>
    <w:p>
      <w:pPr>
        <w:pStyle w:val="ListBullet"/>
        <w:spacing w:after="100"/>
        <w:ind w:left="720" w:hanging="360"/>
      </w:pPr>
      <w:r>
        <w:t>онлайн шакл, ins@sjco.uz ёки 71 200-26-00/1190 орқали хабар бериш;</w:t>
      </w:r>
    </w:p>
    <w:p>
      <w:pPr>
        <w:pStyle w:val="ListBullet"/>
        <w:spacing w:after="100"/>
        <w:ind w:left="720" w:hanging="360"/>
      </w:pPr>
      <w:r>
        <w:t>мурожаатнинг қайд рақамини сақлаш ва кўриб чиқилишини кузатиш;</w:t>
      </w:r>
    </w:p>
    <w:p>
      <w:pPr>
        <w:pStyle w:val="ListBullet"/>
        <w:spacing w:after="100"/>
        <w:ind w:left="720" w:hanging="360"/>
      </w:pPr>
      <w:r>
        <w:t>тасдиқланмаган маълумотни тарқатмаслик, махфийликни ҳимоя қилиш.</w:t>
      </w:r>
    </w:p>
    <w:p>
      <w:pPr>
        <w:pStyle w:val="Heading1"/>
      </w:pPr>
      <w:r>
        <w:t>Мурожаат мазмуни</w:t>
      </w:r>
    </w:p>
    <w:p>
      <w:r>
        <w:t>Мурожаат аниқ, холис ва текшириш мумкин бўлган маълумотларга асосланиши керак. Ҳиссий баҳолар ўрнига воқеа тафсилоти ва мавжуд далилларни кўрсатиш мақсадга мувофиқ.</w:t>
      </w:r>
    </w:p>
    <w:p>
      <w:pPr>
        <w:pStyle w:val="ListBullet"/>
        <w:spacing w:after="100"/>
        <w:ind w:left="720" w:hanging="360"/>
      </w:pPr>
      <w:r>
        <w:t>мурожаат қилувчининг алоқа маълумотлари;</w:t>
      </w:r>
    </w:p>
    <w:p>
      <w:pPr>
        <w:pStyle w:val="ListBullet"/>
        <w:spacing w:after="100"/>
        <w:ind w:left="720" w:hanging="360"/>
      </w:pPr>
      <w:r>
        <w:t>воқеа санаси, вақти ва жойи;</w:t>
      </w:r>
    </w:p>
    <w:p>
      <w:pPr>
        <w:pStyle w:val="ListBullet"/>
        <w:spacing w:after="100"/>
        <w:ind w:left="720" w:hanging="360"/>
      </w:pPr>
      <w:r>
        <w:t>иштирокчилар ва ноқонуний талабнинг мазмуни;</w:t>
      </w:r>
    </w:p>
    <w:p>
      <w:pPr>
        <w:pStyle w:val="ListBullet"/>
        <w:spacing w:after="100"/>
        <w:ind w:left="720" w:hanging="360"/>
      </w:pPr>
      <w:r>
        <w:t>мавжуд ҳужжат, фото, аудио ёки бошқа далиллар;</w:t>
      </w:r>
    </w:p>
    <w:p>
      <w:pPr>
        <w:pStyle w:val="ListBullet"/>
        <w:spacing w:after="100"/>
        <w:ind w:left="720" w:hanging="360"/>
      </w:pPr>
      <w:r>
        <w:t>кўриб чиқишдан кутилаётган қонуний натижа.</w:t>
      </w:r>
    </w:p>
    <w:p>
      <w:pPr>
        <w:pStyle w:val="Heading1"/>
      </w:pPr>
      <w:r>
        <w:t>Муҳокама учун саволлар</w:t>
      </w:r>
    </w:p>
    <w:p>
      <w:pPr>
        <w:pStyle w:val="ListBullet"/>
        <w:spacing w:after="100"/>
        <w:ind w:left="720" w:hanging="360"/>
      </w:pPr>
      <w:r>
        <w:t>Коррупциявий хавфни ҳуқуқбузарлик содир бўлишидан олдин қандай аниқлаш мумкин?</w:t>
      </w:r>
    </w:p>
    <w:p>
      <w:pPr>
        <w:pStyle w:val="ListBullet"/>
        <w:spacing w:after="100"/>
        <w:ind w:left="720" w:hanging="360"/>
      </w:pPr>
      <w:r>
        <w:t>Хабар беришда қайси далиллар муҳим?</w:t>
      </w:r>
    </w:p>
    <w:p>
      <w:pPr>
        <w:pStyle w:val="ListBullet"/>
        <w:spacing w:after="100"/>
        <w:ind w:left="720" w:hanging="360"/>
      </w:pPr>
      <w:r>
        <w:t>Махфийлик ва тасдиқланмаган маълумотни тарқатмаслик нега зарур?</w:t>
      </w:r>
    </w:p>
    <w:p>
      <w:pPr>
        <w:pStyle w:val="Heading1"/>
      </w:pPr>
      <w:r>
        <w:t>Хулоса</w:t>
      </w:r>
    </w:p>
    <w:p>
      <w:r>
        <w:t>Коррупциянинг олдини олиш фақат назорат органларининг вазифаси эмас. Ҳар бир ходимнинг қонуний, холис ва очиқ ҳаракати суд ҳокимияти нуфузини мустаҳкамлайди. Шубҳали вазиятни ўз вақтида ошкор қилиш, манфаатлар тўқнашувидан четлашиш ва ноқонуний таклиф ҳақида хабар бериш — адолатни ҳимоя қилишнинг амалий шаклидир.</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FFF4D6"/>
            <w:vAlign w:val="center"/>
          </w:tcPr>
          <w:p>
            <w:pPr>
              <w:spacing w:after="0"/>
            </w:pPr>
            <w:r>
              <w:rPr>
                <w:b/>
                <w:color w:val="1F4E78"/>
              </w:rPr>
              <w:t>Якуний чақириқ: пора берманг, пора олманг, манфаатлар тўқнашувини яширманг ва қонунбузилиш ҳақида хабар беринг.</w:t>
            </w:r>
          </w:p>
        </w:tc>
      </w:tr>
    </w:tbl>
    <w:p>
      <w:pPr>
        <w:pStyle w:val="Heading1"/>
      </w:pPr>
      <w:r>
        <w:t>Фойдаланилган расмий манбалар</w:t>
      </w:r>
    </w:p>
    <w:p>
      <w:pPr>
        <w:spacing w:after="80"/>
      </w:pPr>
      <w:r>
        <w:rPr>
          <w:b/>
        </w:rPr>
        <w:t>1. Ўзбекистон Республикасининг «Коррупцияга қарши курашиш тўғрисида»ги Қонуни (ЎРҚ-419, 2017 йил 3 январь)</w:t>
        <w:br/>
      </w:r>
      <w:r>
        <w:rPr>
          <w:color w:val="1F4E78"/>
          <w:sz w:val="18"/>
        </w:rPr>
        <w:t>https://lex.uz/docs/3088008</w:t>
      </w:r>
    </w:p>
    <w:p>
      <w:pPr>
        <w:spacing w:after="80"/>
      </w:pPr>
      <w:r>
        <w:rPr>
          <w:b/>
        </w:rPr>
        <w:t>2. Суд тизимида манфаатлар тўқнашуви: зарурият ва аниқлик эҳтиёжи</w:t>
        <w:br/>
      </w:r>
      <w:r>
        <w:rPr>
          <w:color w:val="1F4E78"/>
          <w:sz w:val="18"/>
        </w:rPr>
        <w:t>https://sudyalaroliykengashi.uz/uz/news/964</w:t>
      </w:r>
    </w:p>
    <w:p>
      <w:pPr>
        <w:spacing w:after="80"/>
      </w:pPr>
      <w:r>
        <w:rPr>
          <w:b/>
        </w:rPr>
        <w:t>3. Судларда коррупция фактлари тўғрисида шикоятларни йўллаш</w:t>
        <w:br/>
      </w:r>
      <w:r>
        <w:rPr>
          <w:color w:val="1F4E78"/>
          <w:sz w:val="18"/>
        </w:rPr>
        <w:t>https://sudyalaroliykengashi.uz/uz/submission</w:t>
      </w:r>
    </w:p>
    <w:sectPr w:rsidR="00FC693F" w:rsidRPr="0006063C" w:rsidSect="00034616">
      <w:headerReference w:type="default" r:id="rId9"/>
      <w:footerReference w:type="default" r:id="rId10"/>
      <w:pgSz w:w="12240" w:h="15840"/>
      <w:pgMar w:top="1123" w:right="1224" w:bottom="1123"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8"/>
        <w:sz w:val="17"/>
      </w:rPr>
      <w:t>Ўзбекистон Республикаси Судьялар олий кенгаши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E78"/>
        <w:sz w:val="17"/>
      </w:rPr>
      <w:t>7.9-БАНД • КОРРУПЦИЯГА ҚАРШИ ТАРҒИБОТ</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E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Суд тизимида коррупциявий хавфларнинг олдини олиш ва хабар бериш тартиби</dc:title>
  <dc:subject/>
  <dc:creator>Ўзбекистон Республикаси Судьялар олий кенгаши</dc:creator>
  <cp:keywords/>
  <dc:description>generated by python-docx</dc:description>
  <cp:lastModifiedBy/>
  <cp:revision>1</cp:revision>
  <dcterms:created xsi:type="dcterms:W3CDTF">2013-12-23T23:15:00Z</dcterms:created>
  <dcterms:modified xsi:type="dcterms:W3CDTF">2013-12-23T23:15:00Z</dcterms:modified>
  <cp:category/>
</cp:coreProperties>
</file>