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7793" w14:textId="77777777" w:rsidR="00130963" w:rsidRPr="00130963" w:rsidRDefault="00130963" w:rsidP="00130963">
      <w:pPr>
        <w:spacing w:after="0"/>
        <w:ind w:firstLine="709"/>
        <w:jc w:val="center"/>
      </w:pPr>
      <w:r w:rsidRPr="00130963">
        <w:t xml:space="preserve">Давлат </w:t>
      </w:r>
      <w:proofErr w:type="spellStart"/>
      <w:r w:rsidRPr="00130963">
        <w:t>органлари</w:t>
      </w:r>
      <w:proofErr w:type="spellEnd"/>
      <w:r w:rsidRPr="00130963">
        <w:t xml:space="preserve"> </w:t>
      </w:r>
      <w:proofErr w:type="spellStart"/>
      <w:r w:rsidRPr="00130963">
        <w:t>ва</w:t>
      </w:r>
      <w:proofErr w:type="spellEnd"/>
      <w:r w:rsidRPr="00130963">
        <w:t xml:space="preserve"> </w:t>
      </w:r>
      <w:proofErr w:type="spellStart"/>
      <w:r w:rsidRPr="00130963">
        <w:t>ташкилотларининг</w:t>
      </w:r>
      <w:proofErr w:type="spellEnd"/>
      <w:r w:rsidRPr="00130963">
        <w:t xml:space="preserve"> </w:t>
      </w:r>
      <w:proofErr w:type="spellStart"/>
      <w:r w:rsidRPr="00130963">
        <w:t>очиқликни</w:t>
      </w:r>
      <w:proofErr w:type="spellEnd"/>
      <w:r w:rsidRPr="00130963">
        <w:t xml:space="preserve"> </w:t>
      </w:r>
      <w:proofErr w:type="spellStart"/>
      <w:r w:rsidRPr="00130963">
        <w:t>таъминлаш</w:t>
      </w:r>
      <w:proofErr w:type="spellEnd"/>
      <w:r w:rsidRPr="00130963">
        <w:t xml:space="preserve"> </w:t>
      </w:r>
      <w:proofErr w:type="spellStart"/>
      <w:r w:rsidRPr="00130963">
        <w:t>соҳасидаги</w:t>
      </w:r>
      <w:proofErr w:type="spellEnd"/>
      <w:r w:rsidRPr="00130963">
        <w:t xml:space="preserve"> норматив-</w:t>
      </w:r>
      <w:proofErr w:type="spellStart"/>
      <w:r w:rsidRPr="00130963">
        <w:t>ҳуқуқий</w:t>
      </w:r>
      <w:proofErr w:type="spellEnd"/>
      <w:r w:rsidRPr="00130963">
        <w:t xml:space="preserve"> </w:t>
      </w:r>
      <w:proofErr w:type="spellStart"/>
      <w:r w:rsidRPr="00130963">
        <w:t>ҳужжатларда</w:t>
      </w:r>
      <w:proofErr w:type="spellEnd"/>
      <w:r w:rsidRPr="00130963">
        <w:t xml:space="preserve"> </w:t>
      </w:r>
      <w:proofErr w:type="spellStart"/>
      <w:r w:rsidRPr="00130963">
        <w:t>белгиланган</w:t>
      </w:r>
      <w:proofErr w:type="spellEnd"/>
      <w:r w:rsidRPr="00130963">
        <w:t xml:space="preserve"> </w:t>
      </w:r>
      <w:proofErr w:type="spellStart"/>
      <w:r w:rsidRPr="00130963">
        <w:t>мажбуриятларга</w:t>
      </w:r>
      <w:proofErr w:type="spellEnd"/>
      <w:r w:rsidRPr="00130963">
        <w:t xml:space="preserve"> </w:t>
      </w:r>
      <w:proofErr w:type="spellStart"/>
      <w:r w:rsidRPr="00130963">
        <w:t>риоя</w:t>
      </w:r>
      <w:proofErr w:type="spellEnd"/>
      <w:r w:rsidRPr="00130963">
        <w:t xml:space="preserve"> </w:t>
      </w:r>
      <w:proofErr w:type="spellStart"/>
      <w:r w:rsidRPr="00130963">
        <w:t>этилишини</w:t>
      </w:r>
      <w:proofErr w:type="spellEnd"/>
      <w:r w:rsidRPr="00130963">
        <w:t xml:space="preserve"> </w:t>
      </w:r>
      <w:proofErr w:type="spellStart"/>
      <w:r w:rsidRPr="00130963">
        <w:t>масофадан</w:t>
      </w:r>
      <w:proofErr w:type="spellEnd"/>
      <w:r w:rsidRPr="00130963">
        <w:t xml:space="preserve"> мониторинг </w:t>
      </w:r>
      <w:proofErr w:type="spellStart"/>
      <w:r w:rsidRPr="00130963">
        <w:t>қилиш</w:t>
      </w:r>
      <w:proofErr w:type="spellEnd"/>
      <w:r w:rsidRPr="00130963">
        <w:t xml:space="preserve"> </w:t>
      </w:r>
      <w:proofErr w:type="spellStart"/>
      <w:r w:rsidRPr="00130963">
        <w:t>тартиби</w:t>
      </w:r>
      <w:proofErr w:type="spellEnd"/>
      <w:r w:rsidRPr="00130963">
        <w:t xml:space="preserve"> </w:t>
      </w:r>
      <w:proofErr w:type="spellStart"/>
      <w:r w:rsidRPr="00130963">
        <w:t>тўғрисидаги</w:t>
      </w:r>
      <w:proofErr w:type="spellEnd"/>
      <w:r w:rsidRPr="00130963">
        <w:t> </w:t>
      </w:r>
      <w:proofErr w:type="spellStart"/>
      <w:r w:rsidRPr="00130963">
        <w:fldChar w:fldCharType="begin"/>
      </w:r>
      <w:r w:rsidRPr="00130963">
        <w:instrText>HYPERLINK "https://www.lex.uz/uz/docs/7289876"</w:instrText>
      </w:r>
      <w:r w:rsidRPr="00130963">
        <w:fldChar w:fldCharType="separate"/>
      </w:r>
      <w:r w:rsidRPr="00130963">
        <w:rPr>
          <w:rStyle w:val="ac"/>
        </w:rPr>
        <w:t>низомга</w:t>
      </w:r>
      <w:proofErr w:type="spellEnd"/>
      <w:r w:rsidRPr="00130963">
        <w:fldChar w:fldCharType="end"/>
      </w:r>
      <w:r w:rsidRPr="00130963">
        <w:br/>
        <w:t>7-ИЛОВА</w:t>
      </w:r>
    </w:p>
    <w:p w14:paraId="0F06453B" w14:textId="77777777" w:rsidR="00130963" w:rsidRPr="00130963" w:rsidRDefault="00130963" w:rsidP="00130963">
      <w:pPr>
        <w:spacing w:after="0"/>
        <w:ind w:firstLine="709"/>
        <w:jc w:val="center"/>
        <w:rPr>
          <w:b/>
          <w:bCs/>
        </w:rPr>
      </w:pPr>
      <w:proofErr w:type="spellStart"/>
      <w:r w:rsidRPr="00130963">
        <w:rPr>
          <w:b/>
          <w:bCs/>
        </w:rPr>
        <w:t>Мансабдор</w:t>
      </w:r>
      <w:proofErr w:type="spellEnd"/>
      <w:r w:rsidRPr="00130963">
        <w:rPr>
          <w:b/>
          <w:bCs/>
        </w:rPr>
        <w:t xml:space="preserve"> </w:t>
      </w:r>
      <w:proofErr w:type="spellStart"/>
      <w:r w:rsidRPr="00130963">
        <w:rPr>
          <w:b/>
          <w:bCs/>
        </w:rPr>
        <w:t>шахсларнинг</w:t>
      </w:r>
      <w:proofErr w:type="spellEnd"/>
      <w:r w:rsidRPr="00130963">
        <w:rPr>
          <w:b/>
          <w:bCs/>
        </w:rPr>
        <w:t xml:space="preserve"> </w:t>
      </w:r>
      <w:proofErr w:type="spellStart"/>
      <w:r w:rsidRPr="00130963">
        <w:rPr>
          <w:b/>
          <w:bCs/>
        </w:rPr>
        <w:t>Ўзбекистон</w:t>
      </w:r>
      <w:proofErr w:type="spellEnd"/>
      <w:r w:rsidRPr="00130963">
        <w:rPr>
          <w:b/>
          <w:bCs/>
        </w:rPr>
        <w:t xml:space="preserve"> </w:t>
      </w:r>
      <w:proofErr w:type="spellStart"/>
      <w:r w:rsidRPr="00130963">
        <w:rPr>
          <w:b/>
          <w:bCs/>
        </w:rPr>
        <w:t>Республикаси</w:t>
      </w:r>
      <w:proofErr w:type="spellEnd"/>
      <w:r w:rsidRPr="00130963">
        <w:rPr>
          <w:b/>
          <w:bCs/>
        </w:rPr>
        <w:t xml:space="preserve"> </w:t>
      </w:r>
      <w:proofErr w:type="spellStart"/>
      <w:r w:rsidRPr="00130963">
        <w:rPr>
          <w:b/>
          <w:bCs/>
        </w:rPr>
        <w:t>ташқарисида</w:t>
      </w:r>
      <w:proofErr w:type="spellEnd"/>
      <w:r w:rsidRPr="00130963">
        <w:rPr>
          <w:b/>
          <w:bCs/>
        </w:rPr>
        <w:t xml:space="preserve"> </w:t>
      </w:r>
      <w:proofErr w:type="spellStart"/>
      <w:r w:rsidRPr="00130963">
        <w:rPr>
          <w:b/>
          <w:bCs/>
        </w:rPr>
        <w:t>хизмат</w:t>
      </w:r>
      <w:proofErr w:type="spellEnd"/>
      <w:r w:rsidRPr="00130963">
        <w:rPr>
          <w:b/>
          <w:bCs/>
        </w:rPr>
        <w:t xml:space="preserve"> </w:t>
      </w:r>
      <w:proofErr w:type="spellStart"/>
      <w:r w:rsidRPr="00130963">
        <w:rPr>
          <w:b/>
          <w:bCs/>
        </w:rPr>
        <w:t>сафарлари</w:t>
      </w:r>
      <w:proofErr w:type="spellEnd"/>
      <w:r w:rsidRPr="00130963">
        <w:rPr>
          <w:b/>
          <w:bCs/>
        </w:rPr>
        <w:t xml:space="preserve"> </w:t>
      </w:r>
      <w:proofErr w:type="spellStart"/>
      <w:r w:rsidRPr="00130963">
        <w:rPr>
          <w:b/>
          <w:bCs/>
        </w:rPr>
        <w:t>харажатлари</w:t>
      </w:r>
      <w:proofErr w:type="spellEnd"/>
      <w:r w:rsidRPr="00130963">
        <w:rPr>
          <w:b/>
          <w:bCs/>
        </w:rPr>
        <w:t xml:space="preserve"> </w:t>
      </w:r>
      <w:proofErr w:type="spellStart"/>
      <w:r w:rsidRPr="00130963">
        <w:rPr>
          <w:b/>
          <w:bCs/>
        </w:rPr>
        <w:t>тўғрисидаги</w:t>
      </w:r>
      <w:proofErr w:type="spellEnd"/>
    </w:p>
    <w:p w14:paraId="7E9AA19A" w14:textId="77777777" w:rsidR="00130963" w:rsidRPr="00130963" w:rsidRDefault="00130963" w:rsidP="00130963">
      <w:pPr>
        <w:spacing w:after="0"/>
        <w:ind w:firstLine="709"/>
        <w:jc w:val="center"/>
      </w:pPr>
      <w:r w:rsidRPr="00130963">
        <w:rPr>
          <w:b/>
          <w:bCs/>
        </w:rPr>
        <w:t>МАЪЛУМОТЛАР</w:t>
      </w:r>
    </w:p>
    <w:tbl>
      <w:tblPr>
        <w:tblW w:w="5111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568"/>
        <w:gridCol w:w="1418"/>
        <w:gridCol w:w="993"/>
        <w:gridCol w:w="1416"/>
        <w:gridCol w:w="1138"/>
        <w:gridCol w:w="26"/>
        <w:gridCol w:w="822"/>
        <w:gridCol w:w="1135"/>
        <w:gridCol w:w="1563"/>
        <w:gridCol w:w="51"/>
        <w:gridCol w:w="1083"/>
        <w:gridCol w:w="1134"/>
        <w:gridCol w:w="1134"/>
        <w:gridCol w:w="992"/>
      </w:tblGrid>
      <w:tr w:rsidR="002E05B8" w:rsidRPr="00130963" w14:paraId="13BA5043" w14:textId="77777777" w:rsidTr="002E05B8">
        <w:trPr>
          <w:trHeight w:val="285"/>
          <w:jc w:val="center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36817E" w14:textId="77777777" w:rsidR="00130963" w:rsidRPr="002E05B8" w:rsidRDefault="00130963" w:rsidP="00696E9A">
            <w:pPr>
              <w:spacing w:after="0"/>
              <w:jc w:val="both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126BA7" w14:textId="77777777" w:rsidR="00130963" w:rsidRPr="002E05B8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Хизмат сафарининг қисқача мақсади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B8DE4F" w14:textId="77777777" w:rsidR="00130963" w:rsidRPr="002E05B8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Хизмат сафари амалга оширилган мамлакат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351AE5" w14:textId="77777777" w:rsidR="00130963" w:rsidRPr="002E05B8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Хизмат сафарининг давомийлик муддати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55A4C0" w14:textId="77777777" w:rsidR="00130963" w:rsidRPr="002E05B8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Хизмат сафарини амалга оширган ходимнинг фамилияси ва исми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E2BB9" w14:textId="77777777" w:rsidR="00130963" w:rsidRPr="002E05B8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Молиялаштириш манбаси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00271C" w14:textId="77777777" w:rsidR="00130963" w:rsidRPr="002E05B8" w:rsidRDefault="00130963" w:rsidP="00696E9A">
            <w:pPr>
              <w:spacing w:after="0"/>
              <w:jc w:val="both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Жами харажат</w:t>
            </w:r>
          </w:p>
        </w:tc>
        <w:tc>
          <w:tcPr>
            <w:tcW w:w="70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E91AEA" w14:textId="77777777" w:rsidR="00130963" w:rsidRPr="002E05B8" w:rsidRDefault="00130963" w:rsidP="0013096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Шундан, харажат турлари</w:t>
            </w:r>
            <w:r w:rsidRPr="002E05B8">
              <w:rPr>
                <w:sz w:val="24"/>
                <w:szCs w:val="24"/>
              </w:rPr>
              <w:t> </w:t>
            </w:r>
            <w:r w:rsidRPr="002E05B8">
              <w:rPr>
                <w:i/>
                <w:iCs/>
                <w:sz w:val="24"/>
                <w:szCs w:val="24"/>
                <w:lang w:val="uz-Cyrl-UZ"/>
              </w:rPr>
              <w:t>(минг сўмда)</w:t>
            </w:r>
          </w:p>
        </w:tc>
      </w:tr>
      <w:tr w:rsidR="002E05B8" w:rsidRPr="00130963" w14:paraId="0A33248F" w14:textId="77777777" w:rsidTr="002E05B8">
        <w:trPr>
          <w:trHeight w:val="285"/>
          <w:jc w:val="center"/>
        </w:trPr>
        <w:tc>
          <w:tcPr>
            <w:tcW w:w="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D83A" w14:textId="77777777" w:rsidR="00130963" w:rsidRPr="002E05B8" w:rsidRDefault="00130963" w:rsidP="0013096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52AA0" w14:textId="77777777" w:rsidR="00130963" w:rsidRPr="002E05B8" w:rsidRDefault="00130963" w:rsidP="0013096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0F1D9" w14:textId="77777777" w:rsidR="00130963" w:rsidRPr="002E05B8" w:rsidRDefault="00130963" w:rsidP="0013096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AF4BD" w14:textId="77777777" w:rsidR="00130963" w:rsidRPr="002E05B8" w:rsidRDefault="00130963" w:rsidP="0013096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BC783" w14:textId="77777777" w:rsidR="00130963" w:rsidRPr="002E05B8" w:rsidRDefault="00130963" w:rsidP="0013096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19FB0" w14:textId="77777777" w:rsidR="00130963" w:rsidRPr="002E05B8" w:rsidRDefault="00130963" w:rsidP="0013096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81E7E" w14:textId="77777777" w:rsidR="00130963" w:rsidRPr="002E05B8" w:rsidRDefault="00130963" w:rsidP="0013096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76B5D7" w14:textId="77777777" w:rsidR="00130963" w:rsidRPr="002E05B8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2E05B8">
              <w:rPr>
                <w:sz w:val="24"/>
                <w:szCs w:val="24"/>
                <w:lang w:val="uz-Cyrl-UZ"/>
              </w:rPr>
              <w:t>Суткалик харажатлар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2AF2DD" w14:textId="77777777" w:rsidR="00130963" w:rsidRPr="00696E9A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696E9A">
              <w:rPr>
                <w:sz w:val="24"/>
                <w:szCs w:val="24"/>
                <w:lang w:val="uz-Cyrl-UZ"/>
              </w:rPr>
              <w:t>Яшаш учун </w:t>
            </w:r>
            <w:r w:rsidRPr="00696E9A">
              <w:rPr>
                <w:i/>
                <w:iCs/>
                <w:sz w:val="24"/>
                <w:szCs w:val="24"/>
                <w:lang w:val="uz-Cyrl-UZ"/>
              </w:rPr>
              <w:t>(турар жойни ижараси бўйича) харажатлар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B3E892" w14:textId="77777777" w:rsidR="00130963" w:rsidRPr="00696E9A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696E9A">
              <w:rPr>
                <w:sz w:val="24"/>
                <w:szCs w:val="24"/>
                <w:lang w:val="uz-Cyrl-UZ"/>
              </w:rPr>
              <w:t>Транспорт харажатлари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EDEC2D" w14:textId="77777777" w:rsidR="00130963" w:rsidRPr="00696E9A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696E9A">
              <w:rPr>
                <w:sz w:val="24"/>
                <w:szCs w:val="24"/>
                <w:lang w:val="uz-Cyrl-UZ"/>
              </w:rPr>
              <w:t>Вакиллик харажатлари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A4A99" w14:textId="77777777" w:rsidR="00130963" w:rsidRPr="00696E9A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696E9A">
              <w:rPr>
                <w:sz w:val="24"/>
                <w:szCs w:val="24"/>
                <w:lang w:val="uz-Cyrl-UZ"/>
              </w:rPr>
              <w:t>Кўзда тутилмаган харажатлар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5C97A9" w14:textId="77777777" w:rsidR="00130963" w:rsidRPr="00696E9A" w:rsidRDefault="00130963" w:rsidP="002E05B8">
            <w:pPr>
              <w:spacing w:after="0"/>
              <w:jc w:val="center"/>
              <w:rPr>
                <w:sz w:val="24"/>
                <w:szCs w:val="24"/>
              </w:rPr>
            </w:pPr>
            <w:r w:rsidRPr="00696E9A">
              <w:rPr>
                <w:sz w:val="24"/>
                <w:szCs w:val="24"/>
                <w:lang w:val="uz-Cyrl-UZ"/>
              </w:rPr>
              <w:t>Бошқа харажатлар</w:t>
            </w:r>
          </w:p>
        </w:tc>
      </w:tr>
      <w:tr w:rsidR="002E05B8" w:rsidRPr="00130963" w14:paraId="389EAE95" w14:textId="77777777" w:rsidTr="002E05B8">
        <w:trPr>
          <w:trHeight w:val="285"/>
          <w:jc w:val="center"/>
        </w:trPr>
        <w:tc>
          <w:tcPr>
            <w:tcW w:w="14876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0DBD7" w14:textId="738BF590" w:rsidR="002E05B8" w:rsidRPr="00696E9A" w:rsidRDefault="002E05B8" w:rsidP="002E05B8">
            <w:pPr>
              <w:spacing w:after="0"/>
              <w:ind w:firstLine="709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2026 йил 1-чоракда мавжуд эмас.</w:t>
            </w:r>
          </w:p>
        </w:tc>
      </w:tr>
      <w:tr w:rsidR="002E05B8" w:rsidRPr="00130963" w14:paraId="0651763D" w14:textId="77777777" w:rsidTr="002E05B8">
        <w:trPr>
          <w:trHeight w:val="285"/>
          <w:jc w:val="center"/>
        </w:trPr>
        <w:tc>
          <w:tcPr>
            <w:tcW w:w="14876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1ED82" w14:textId="2CEB40AD" w:rsidR="002E05B8" w:rsidRDefault="002E05B8" w:rsidP="002E05B8">
            <w:pPr>
              <w:spacing w:after="0"/>
              <w:ind w:firstLine="709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2026 йил 2-чорак бщйича:</w:t>
            </w:r>
          </w:p>
        </w:tc>
      </w:tr>
      <w:tr w:rsidR="002E05B8" w:rsidRPr="00130963" w14:paraId="3B4B030E" w14:textId="77777777" w:rsidTr="002E05B8">
        <w:trPr>
          <w:trHeight w:val="285"/>
          <w:jc w:val="center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2601E" w14:textId="03BCBC5B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6300" w14:textId="4F39ED98" w:rsidR="00696E9A" w:rsidRPr="002E05B8" w:rsidRDefault="00E84131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Остона шаҳрида бўлиб ўтган конференция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8B377" w14:textId="486CDB8C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Қозоғистон Республикаси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5BD0AD" w14:textId="77777777" w:rsidR="00E84131" w:rsidRPr="002E05B8" w:rsidRDefault="00E84131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</w:p>
          <w:p w14:paraId="21B9CC7A" w14:textId="3D7F9AA0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61B8A" w14:textId="53BCC99D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Ёдгоров Х.Б.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B7850" w14:textId="1D169659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3C0E81" w14:textId="77777777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</w:p>
          <w:p w14:paraId="55C1E49E" w14:textId="77777777" w:rsidR="00E84131" w:rsidRPr="002E05B8" w:rsidRDefault="00E84131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</w:p>
          <w:p w14:paraId="78AD5392" w14:textId="77777777" w:rsidR="00E84131" w:rsidRPr="002E05B8" w:rsidRDefault="00E84131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</w:p>
          <w:p w14:paraId="58038694" w14:textId="0A6C52B3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6105894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EBCBA" w14:textId="62CF083F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300512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AE0B1" w14:textId="3CBDC268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2070400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ADE31" w14:textId="1E630511" w:rsidR="00696E9A" w:rsidRPr="002E05B8" w:rsidRDefault="00696E9A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3734982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AA2E5" w14:textId="6D52C22F" w:rsidR="00696E9A" w:rsidRPr="002E05B8" w:rsidRDefault="002E05B8" w:rsidP="002E05B8">
            <w:pPr>
              <w:spacing w:after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E05B8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7DB4C" w14:textId="18E52A1E" w:rsidR="00696E9A" w:rsidRPr="002E05B8" w:rsidRDefault="002E05B8" w:rsidP="002E05B8">
            <w:pPr>
              <w:spacing w:after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E05B8">
              <w:rPr>
                <w:b/>
                <w:bCs/>
                <w:sz w:val="20"/>
                <w:szCs w:val="20"/>
                <w:lang w:val="uz-Cyrl-UZ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BD9D" w14:textId="2A8D8409" w:rsidR="00696E9A" w:rsidRPr="002E05B8" w:rsidRDefault="002E05B8" w:rsidP="002E05B8">
            <w:pPr>
              <w:spacing w:after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E05B8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2E05B8" w:rsidRPr="00130963" w14:paraId="09260DB2" w14:textId="77777777" w:rsidTr="002E05B8">
        <w:trPr>
          <w:trHeight w:val="285"/>
          <w:jc w:val="center"/>
        </w:trPr>
        <w:tc>
          <w:tcPr>
            <w:tcW w:w="696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346051" w14:textId="030321A5" w:rsidR="00E84131" w:rsidRPr="00E84131" w:rsidRDefault="002E05B8" w:rsidP="00E84131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z-Cyrl-UZ"/>
              </w:rPr>
              <w:t xml:space="preserve">2026 йил 2-чорак </w:t>
            </w:r>
            <w:r w:rsidR="00E84131" w:rsidRPr="00E84131">
              <w:rPr>
                <w:b/>
                <w:bCs/>
                <w:sz w:val="24"/>
                <w:szCs w:val="24"/>
                <w:lang w:val="uz-Cyrl-UZ"/>
              </w:rPr>
              <w:t>бўйича жами: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600A86" w14:textId="5DDC3B44" w:rsidR="00E84131" w:rsidRPr="00130963" w:rsidRDefault="00E84131" w:rsidP="00E84131">
            <w:pPr>
              <w:spacing w:after="0"/>
              <w:jc w:val="center"/>
            </w:pPr>
            <w:r w:rsidRPr="00696E9A">
              <w:rPr>
                <w:b/>
                <w:bCs/>
                <w:sz w:val="20"/>
                <w:szCs w:val="20"/>
                <w:lang w:val="uz-Cyrl-UZ"/>
              </w:rPr>
              <w:t>6105894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807D57" w14:textId="64DA78A4" w:rsidR="00E84131" w:rsidRPr="00130963" w:rsidRDefault="00E84131" w:rsidP="00E84131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  <w:lang w:val="uz-Cyrl-UZ"/>
              </w:rPr>
              <w:t>300512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553118" w14:textId="2C531CB9" w:rsidR="00E84131" w:rsidRPr="00130963" w:rsidRDefault="00E84131" w:rsidP="00E84131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  <w:lang w:val="uz-Cyrl-UZ"/>
              </w:rPr>
              <w:t>2070400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495249" w14:textId="0B81A353" w:rsidR="00E84131" w:rsidRPr="00130963" w:rsidRDefault="00E84131" w:rsidP="00E84131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  <w:lang w:val="uz-Cyrl-UZ"/>
              </w:rPr>
              <w:t>3734982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E6C24A" w14:textId="120F1D85" w:rsidR="00E84131" w:rsidRPr="002E05B8" w:rsidRDefault="002E05B8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B86FD1" w14:textId="68EC3F65" w:rsidR="00E84131" w:rsidRPr="002E05B8" w:rsidRDefault="002E05B8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A68416" w14:textId="4A48FBDA" w:rsidR="00E84131" w:rsidRPr="002E05B8" w:rsidRDefault="002E05B8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2E05B8" w:rsidRPr="00130963" w14:paraId="037FDC09" w14:textId="77777777" w:rsidTr="002E05B8">
        <w:trPr>
          <w:trHeight w:val="285"/>
          <w:jc w:val="center"/>
        </w:trPr>
        <w:tc>
          <w:tcPr>
            <w:tcW w:w="696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E82701" w14:textId="3B2FD48A" w:rsidR="002E05B8" w:rsidRPr="002E05B8" w:rsidRDefault="002E05B8" w:rsidP="002E05B8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2E05B8">
              <w:rPr>
                <w:b/>
                <w:bCs/>
                <w:sz w:val="24"/>
                <w:szCs w:val="24"/>
              </w:rPr>
              <w:t xml:space="preserve">2026 ярим </w:t>
            </w:r>
            <w:proofErr w:type="spellStart"/>
            <w:r w:rsidRPr="002E05B8">
              <w:rPr>
                <w:b/>
                <w:bCs/>
                <w:sz w:val="24"/>
                <w:szCs w:val="24"/>
              </w:rPr>
              <w:t>йиллик</w:t>
            </w:r>
            <w:proofErr w:type="spellEnd"/>
            <w:r w:rsidRPr="002E05B8">
              <w:rPr>
                <w:b/>
                <w:bCs/>
                <w:sz w:val="24"/>
                <w:szCs w:val="24"/>
              </w:rPr>
              <w:t xml:space="preserve"> б</w:t>
            </w:r>
            <w:r>
              <w:rPr>
                <w:b/>
                <w:bCs/>
                <w:sz w:val="24"/>
                <w:szCs w:val="24"/>
                <w:lang w:val="uz-Cyrl-UZ"/>
              </w:rPr>
              <w:t>ў</w:t>
            </w:r>
            <w:proofErr w:type="spellStart"/>
            <w:r w:rsidRPr="002E05B8">
              <w:rPr>
                <w:b/>
                <w:bCs/>
                <w:sz w:val="24"/>
                <w:szCs w:val="24"/>
              </w:rPr>
              <w:t>йича</w:t>
            </w:r>
            <w:proofErr w:type="spellEnd"/>
            <w:r w:rsidRPr="002E05B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05B8">
              <w:rPr>
                <w:b/>
                <w:bCs/>
                <w:sz w:val="24"/>
                <w:szCs w:val="24"/>
              </w:rPr>
              <w:t>жами</w:t>
            </w:r>
            <w:proofErr w:type="spellEnd"/>
            <w:r w:rsidRPr="002E05B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2D13D3" w14:textId="5B73CC15" w:rsidR="002E05B8" w:rsidRPr="00130963" w:rsidRDefault="002E05B8" w:rsidP="002E05B8">
            <w:pPr>
              <w:spacing w:after="0"/>
              <w:jc w:val="center"/>
            </w:pPr>
            <w:r w:rsidRPr="00696E9A">
              <w:rPr>
                <w:b/>
                <w:bCs/>
                <w:sz w:val="20"/>
                <w:szCs w:val="20"/>
                <w:lang w:val="uz-Cyrl-UZ"/>
              </w:rPr>
              <w:t>6105894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E63E9" w14:textId="04693AB8" w:rsidR="002E05B8" w:rsidRPr="00130963" w:rsidRDefault="002E05B8" w:rsidP="002E05B8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  <w:lang w:val="uz-Cyrl-UZ"/>
              </w:rPr>
              <w:t>300512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2BCED0" w14:textId="53FE4656" w:rsidR="002E05B8" w:rsidRPr="00130963" w:rsidRDefault="002E05B8" w:rsidP="002E05B8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  <w:lang w:val="uz-Cyrl-UZ"/>
              </w:rPr>
              <w:t>2070400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A9F46E" w14:textId="5CDD327F" w:rsidR="002E05B8" w:rsidRPr="00130963" w:rsidRDefault="002E05B8" w:rsidP="002E05B8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  <w:lang w:val="uz-Cyrl-UZ"/>
              </w:rPr>
              <w:t>3734982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12E4E5" w14:textId="340245FA" w:rsidR="002E05B8" w:rsidRPr="002E05B8" w:rsidRDefault="002E05B8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E4033A" w14:textId="3883D154" w:rsidR="002E05B8" w:rsidRPr="002E05B8" w:rsidRDefault="002E05B8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5CA056" w14:textId="6CF2C531" w:rsidR="002E05B8" w:rsidRPr="002E05B8" w:rsidRDefault="002E05B8" w:rsidP="002E05B8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2E05B8">
              <w:rPr>
                <w:sz w:val="20"/>
                <w:szCs w:val="20"/>
                <w:lang w:val="uz-Cyrl-UZ"/>
              </w:rPr>
              <w:t>0</w:t>
            </w:r>
          </w:p>
        </w:tc>
      </w:tr>
    </w:tbl>
    <w:p w14:paraId="2F41EE13" w14:textId="77777777" w:rsidR="00E84131" w:rsidRDefault="00E84131" w:rsidP="00130963">
      <w:pPr>
        <w:spacing w:after="0"/>
        <w:ind w:firstLine="709"/>
        <w:jc w:val="both"/>
        <w:rPr>
          <w:sz w:val="24"/>
          <w:szCs w:val="24"/>
        </w:rPr>
      </w:pPr>
    </w:p>
    <w:p w14:paraId="12271364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55FD791D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69F47B61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7F719622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7545E1EF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44AAD5A3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75800781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400EB584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7E108ED3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3C680CDD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018F30E0" w14:textId="77777777" w:rsidR="002E05B8" w:rsidRDefault="002E05B8" w:rsidP="00130963">
      <w:pPr>
        <w:spacing w:after="0"/>
        <w:ind w:firstLine="709"/>
        <w:jc w:val="both"/>
        <w:rPr>
          <w:sz w:val="24"/>
          <w:szCs w:val="24"/>
        </w:rPr>
      </w:pPr>
    </w:p>
    <w:p w14:paraId="5B29021C" w14:textId="7EC25DA3" w:rsidR="00130963" w:rsidRPr="00E84131" w:rsidRDefault="00130963" w:rsidP="0013096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E84131">
        <w:rPr>
          <w:sz w:val="24"/>
          <w:szCs w:val="24"/>
        </w:rPr>
        <w:t>Изоҳ</w:t>
      </w:r>
      <w:proofErr w:type="spellEnd"/>
      <w:r w:rsidRPr="00E84131">
        <w:rPr>
          <w:sz w:val="24"/>
          <w:szCs w:val="24"/>
        </w:rPr>
        <w:t>:</w:t>
      </w:r>
    </w:p>
    <w:p w14:paraId="4F42D8E4" w14:textId="77777777" w:rsidR="00130963" w:rsidRPr="00E84131" w:rsidRDefault="00130963" w:rsidP="00130963">
      <w:pPr>
        <w:spacing w:after="0"/>
        <w:ind w:firstLine="709"/>
        <w:jc w:val="both"/>
        <w:rPr>
          <w:sz w:val="24"/>
          <w:szCs w:val="24"/>
        </w:rPr>
      </w:pPr>
      <w:r w:rsidRPr="00E84131">
        <w:rPr>
          <w:sz w:val="24"/>
          <w:szCs w:val="24"/>
        </w:rPr>
        <w:t xml:space="preserve">1. </w:t>
      </w:r>
      <w:proofErr w:type="spellStart"/>
      <w:r w:rsidRPr="00E84131">
        <w:rPr>
          <w:sz w:val="24"/>
          <w:szCs w:val="24"/>
        </w:rPr>
        <w:t>Маълумотлар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мансабдор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шахсларнинг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Ўзбекистон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Республикаси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ташқарисидаги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хизмат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сафарлари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билан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боғлиқ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амалга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оширган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харажатлар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асосида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шакллантирилиб</w:t>
      </w:r>
      <w:proofErr w:type="spellEnd"/>
      <w:r w:rsidRPr="00E84131">
        <w:rPr>
          <w:sz w:val="24"/>
          <w:szCs w:val="24"/>
        </w:rPr>
        <w:t xml:space="preserve"> (1,2,3 </w:t>
      </w:r>
      <w:proofErr w:type="spellStart"/>
      <w:r w:rsidRPr="00E84131">
        <w:rPr>
          <w:sz w:val="24"/>
          <w:szCs w:val="24"/>
        </w:rPr>
        <w:t>ва</w:t>
      </w:r>
      <w:proofErr w:type="spellEnd"/>
      <w:r w:rsidRPr="00E84131">
        <w:rPr>
          <w:sz w:val="24"/>
          <w:szCs w:val="24"/>
        </w:rPr>
        <w:t xml:space="preserve"> 4-чораклар </w:t>
      </w:r>
      <w:proofErr w:type="spellStart"/>
      <w:r w:rsidRPr="00E84131">
        <w:rPr>
          <w:sz w:val="24"/>
          <w:szCs w:val="24"/>
        </w:rPr>
        <w:t>қўшилганда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жадвалнинг</w:t>
      </w:r>
      <w:proofErr w:type="spellEnd"/>
      <w:r w:rsidRPr="00E84131">
        <w:rPr>
          <w:sz w:val="24"/>
          <w:szCs w:val="24"/>
        </w:rPr>
        <w:t xml:space="preserve"> «</w:t>
      </w:r>
      <w:proofErr w:type="spellStart"/>
      <w:r w:rsidRPr="00E84131">
        <w:rPr>
          <w:sz w:val="24"/>
          <w:szCs w:val="24"/>
        </w:rPr>
        <w:t>Ҳисобот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йилининг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ўтган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даври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бўйича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жами</w:t>
      </w:r>
      <w:proofErr w:type="spellEnd"/>
      <w:r w:rsidRPr="00E84131">
        <w:rPr>
          <w:sz w:val="24"/>
          <w:szCs w:val="24"/>
        </w:rPr>
        <w:t xml:space="preserve">» </w:t>
      </w:r>
      <w:proofErr w:type="spellStart"/>
      <w:r w:rsidRPr="00E84131">
        <w:rPr>
          <w:sz w:val="24"/>
          <w:szCs w:val="24"/>
        </w:rPr>
        <w:t>сатрида</w:t>
      </w:r>
      <w:proofErr w:type="spellEnd"/>
      <w:r w:rsidRPr="00E84131">
        <w:rPr>
          <w:sz w:val="24"/>
          <w:szCs w:val="24"/>
        </w:rPr>
        <w:t xml:space="preserve"> 7 — 13-устунларнинг </w:t>
      </w:r>
      <w:proofErr w:type="spellStart"/>
      <w:r w:rsidRPr="00E84131">
        <w:rPr>
          <w:sz w:val="24"/>
          <w:szCs w:val="24"/>
        </w:rPr>
        <w:t>кўрсаткичлари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молия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йили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давомида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ўсиб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борувчи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тартибида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киритилади</w:t>
      </w:r>
      <w:proofErr w:type="spellEnd"/>
      <w:r w:rsidRPr="00E84131">
        <w:rPr>
          <w:sz w:val="24"/>
          <w:szCs w:val="24"/>
        </w:rPr>
        <w:t xml:space="preserve">) </w:t>
      </w:r>
      <w:proofErr w:type="spellStart"/>
      <w:r w:rsidRPr="00E84131">
        <w:rPr>
          <w:sz w:val="24"/>
          <w:szCs w:val="24"/>
        </w:rPr>
        <w:t>давлат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органлари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ва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ташкилотларининг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расмий</w:t>
      </w:r>
      <w:proofErr w:type="spellEnd"/>
      <w:r w:rsidRPr="00E84131">
        <w:rPr>
          <w:sz w:val="24"/>
          <w:szCs w:val="24"/>
        </w:rPr>
        <w:t xml:space="preserve"> веб-</w:t>
      </w:r>
      <w:proofErr w:type="spellStart"/>
      <w:r w:rsidRPr="00E84131">
        <w:rPr>
          <w:sz w:val="24"/>
          <w:szCs w:val="24"/>
        </w:rPr>
        <w:t>сайти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ва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Очиқ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маълумотлар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порталидаги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саҳифасида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жойлаштирилади</w:t>
      </w:r>
      <w:proofErr w:type="spellEnd"/>
      <w:r w:rsidRPr="00E84131">
        <w:rPr>
          <w:sz w:val="24"/>
          <w:szCs w:val="24"/>
        </w:rPr>
        <w:t xml:space="preserve"> (</w:t>
      </w:r>
      <w:proofErr w:type="spellStart"/>
      <w:r w:rsidRPr="00E84131">
        <w:rPr>
          <w:sz w:val="24"/>
          <w:szCs w:val="24"/>
        </w:rPr>
        <w:t>давлат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сирлари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ва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хизматда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фойдаланиш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учун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мўлжалланган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маълумотлар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бундан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мустасно</w:t>
      </w:r>
      <w:proofErr w:type="spellEnd"/>
      <w:r w:rsidRPr="00E84131">
        <w:rPr>
          <w:sz w:val="24"/>
          <w:szCs w:val="24"/>
        </w:rPr>
        <w:t>);</w:t>
      </w:r>
    </w:p>
    <w:p w14:paraId="5287922C" w14:textId="77777777" w:rsidR="00130963" w:rsidRPr="00E84131" w:rsidRDefault="00130963" w:rsidP="00130963">
      <w:pPr>
        <w:spacing w:after="0"/>
        <w:ind w:firstLine="709"/>
        <w:jc w:val="both"/>
        <w:rPr>
          <w:sz w:val="24"/>
          <w:szCs w:val="24"/>
        </w:rPr>
      </w:pPr>
      <w:r w:rsidRPr="00E84131">
        <w:rPr>
          <w:sz w:val="24"/>
          <w:szCs w:val="24"/>
        </w:rPr>
        <w:t xml:space="preserve">2. </w:t>
      </w:r>
      <w:proofErr w:type="spellStart"/>
      <w:r w:rsidRPr="00E84131">
        <w:rPr>
          <w:sz w:val="24"/>
          <w:szCs w:val="24"/>
        </w:rPr>
        <w:t>Маълумотлар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амалга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оширилган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ҳар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бир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хизмат</w:t>
      </w:r>
      <w:proofErr w:type="spellEnd"/>
      <w:r w:rsidRPr="00E84131">
        <w:rPr>
          <w:sz w:val="24"/>
          <w:szCs w:val="24"/>
        </w:rPr>
        <w:t xml:space="preserve"> сафари </w:t>
      </w:r>
      <w:proofErr w:type="spellStart"/>
      <w:r w:rsidRPr="00E84131">
        <w:rPr>
          <w:sz w:val="24"/>
          <w:szCs w:val="24"/>
        </w:rPr>
        <w:t>бўйича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алоҳида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тартибда</w:t>
      </w:r>
      <w:proofErr w:type="spellEnd"/>
      <w:r w:rsidRPr="00E84131">
        <w:rPr>
          <w:sz w:val="24"/>
          <w:szCs w:val="24"/>
        </w:rPr>
        <w:t xml:space="preserve">, </w:t>
      </w:r>
      <w:proofErr w:type="spellStart"/>
      <w:r w:rsidRPr="00E84131">
        <w:rPr>
          <w:sz w:val="24"/>
          <w:szCs w:val="24"/>
        </w:rPr>
        <w:t>ҳар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чорак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якунидан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кейинги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ойнинг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ўнинчи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санасига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қадар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белгиланган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ахборот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ресурсида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жойлаштирилиши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ҳамда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молия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йили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давомида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ўсиб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борувчи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тартибида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жойлаштириб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борилиши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лозим</w:t>
      </w:r>
      <w:proofErr w:type="spellEnd"/>
      <w:r w:rsidRPr="00E84131">
        <w:rPr>
          <w:sz w:val="24"/>
          <w:szCs w:val="24"/>
        </w:rPr>
        <w:t>;</w:t>
      </w:r>
    </w:p>
    <w:p w14:paraId="35FF78AD" w14:textId="77777777" w:rsidR="00130963" w:rsidRPr="00E84131" w:rsidRDefault="00130963" w:rsidP="00130963">
      <w:pPr>
        <w:spacing w:after="0"/>
        <w:ind w:firstLine="709"/>
        <w:jc w:val="both"/>
        <w:rPr>
          <w:sz w:val="24"/>
          <w:szCs w:val="24"/>
        </w:rPr>
      </w:pPr>
      <w:r w:rsidRPr="00E84131">
        <w:rPr>
          <w:sz w:val="24"/>
          <w:szCs w:val="24"/>
        </w:rPr>
        <w:t xml:space="preserve">3. </w:t>
      </w:r>
      <w:proofErr w:type="spellStart"/>
      <w:r w:rsidRPr="00E84131">
        <w:rPr>
          <w:sz w:val="24"/>
          <w:szCs w:val="24"/>
        </w:rPr>
        <w:t>Хизмат</w:t>
      </w:r>
      <w:proofErr w:type="spellEnd"/>
      <w:r w:rsidRPr="00E84131">
        <w:rPr>
          <w:sz w:val="24"/>
          <w:szCs w:val="24"/>
        </w:rPr>
        <w:t xml:space="preserve"> сафари </w:t>
      </w:r>
      <w:proofErr w:type="spellStart"/>
      <w:r w:rsidRPr="00E84131">
        <w:rPr>
          <w:sz w:val="24"/>
          <w:szCs w:val="24"/>
        </w:rPr>
        <w:t>билан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боғлиқ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харажатлар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ҳақидаги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маълумотларга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давлат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органи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ёки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ташкилотининг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барча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ходимлари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томонидан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амалга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оширилган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харажатлар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киритилади</w:t>
      </w:r>
      <w:proofErr w:type="spellEnd"/>
      <w:r w:rsidRPr="00E84131">
        <w:rPr>
          <w:sz w:val="24"/>
          <w:szCs w:val="24"/>
        </w:rPr>
        <w:t>.</w:t>
      </w:r>
    </w:p>
    <w:p w14:paraId="24C564C2" w14:textId="77777777" w:rsidR="00130963" w:rsidRPr="00E84131" w:rsidRDefault="00130963" w:rsidP="00130963">
      <w:pPr>
        <w:spacing w:after="0"/>
        <w:ind w:firstLine="709"/>
        <w:jc w:val="both"/>
        <w:rPr>
          <w:sz w:val="24"/>
          <w:szCs w:val="24"/>
        </w:rPr>
      </w:pPr>
      <w:r w:rsidRPr="00E84131">
        <w:rPr>
          <w:sz w:val="24"/>
          <w:szCs w:val="24"/>
        </w:rPr>
        <w:t xml:space="preserve">4. </w:t>
      </w:r>
      <w:proofErr w:type="spellStart"/>
      <w:r w:rsidRPr="00E84131">
        <w:rPr>
          <w:sz w:val="24"/>
          <w:szCs w:val="24"/>
        </w:rPr>
        <w:t>Хизмат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сафарига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юборилган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ходимга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бошқа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харажатлар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тўлаб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берилган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тақдирда</w:t>
      </w:r>
      <w:proofErr w:type="spellEnd"/>
      <w:r w:rsidRPr="00E84131">
        <w:rPr>
          <w:sz w:val="24"/>
          <w:szCs w:val="24"/>
        </w:rPr>
        <w:t xml:space="preserve">, </w:t>
      </w:r>
      <w:proofErr w:type="spellStart"/>
      <w:r w:rsidRPr="00E84131">
        <w:rPr>
          <w:sz w:val="24"/>
          <w:szCs w:val="24"/>
        </w:rPr>
        <w:t>тўланган</w:t>
      </w:r>
      <w:proofErr w:type="spellEnd"/>
      <w:r w:rsidRPr="00E84131">
        <w:rPr>
          <w:sz w:val="24"/>
          <w:szCs w:val="24"/>
        </w:rPr>
        <w:t xml:space="preserve"> пул </w:t>
      </w:r>
      <w:proofErr w:type="spellStart"/>
      <w:r w:rsidRPr="00E84131">
        <w:rPr>
          <w:sz w:val="24"/>
          <w:szCs w:val="24"/>
        </w:rPr>
        <w:t>маблағларининг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миқдори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тегишинча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ходимлар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кесимида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жадвалнинг</w:t>
      </w:r>
      <w:proofErr w:type="spellEnd"/>
      <w:r w:rsidRPr="00E84131">
        <w:rPr>
          <w:sz w:val="24"/>
          <w:szCs w:val="24"/>
        </w:rPr>
        <w:t xml:space="preserve"> 13-устунига </w:t>
      </w:r>
      <w:proofErr w:type="spellStart"/>
      <w:r w:rsidRPr="00E84131">
        <w:rPr>
          <w:sz w:val="24"/>
          <w:szCs w:val="24"/>
        </w:rPr>
        <w:t>киритилиб</w:t>
      </w:r>
      <w:proofErr w:type="spellEnd"/>
      <w:r w:rsidRPr="00E84131">
        <w:rPr>
          <w:sz w:val="24"/>
          <w:szCs w:val="24"/>
        </w:rPr>
        <w:t xml:space="preserve">, </w:t>
      </w:r>
      <w:proofErr w:type="spellStart"/>
      <w:r w:rsidRPr="00E84131">
        <w:rPr>
          <w:sz w:val="24"/>
          <w:szCs w:val="24"/>
        </w:rPr>
        <w:t>изоҳга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уларнинг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қисқача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тавсифи</w:t>
      </w:r>
      <w:proofErr w:type="spellEnd"/>
      <w:r w:rsidRPr="00E84131">
        <w:rPr>
          <w:sz w:val="24"/>
          <w:szCs w:val="24"/>
        </w:rPr>
        <w:t xml:space="preserve"> (</w:t>
      </w:r>
      <w:proofErr w:type="spellStart"/>
      <w:r w:rsidRPr="00E84131">
        <w:rPr>
          <w:sz w:val="24"/>
          <w:szCs w:val="24"/>
        </w:rPr>
        <w:t>жамланган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миқдори</w:t>
      </w:r>
      <w:proofErr w:type="spellEnd"/>
      <w:r w:rsidRPr="00E84131">
        <w:rPr>
          <w:sz w:val="24"/>
          <w:szCs w:val="24"/>
        </w:rPr>
        <w:t xml:space="preserve">) </w:t>
      </w:r>
      <w:proofErr w:type="spellStart"/>
      <w:r w:rsidRPr="00E84131">
        <w:rPr>
          <w:sz w:val="24"/>
          <w:szCs w:val="24"/>
        </w:rPr>
        <w:t>ёритилади</w:t>
      </w:r>
      <w:proofErr w:type="spellEnd"/>
      <w:r w:rsidRPr="00E84131">
        <w:rPr>
          <w:sz w:val="24"/>
          <w:szCs w:val="24"/>
        </w:rPr>
        <w:t>.</w:t>
      </w:r>
    </w:p>
    <w:p w14:paraId="43B72D22" w14:textId="77777777" w:rsidR="00130963" w:rsidRPr="00E84131" w:rsidRDefault="00130963" w:rsidP="00130963">
      <w:pPr>
        <w:spacing w:after="0"/>
        <w:ind w:firstLine="709"/>
        <w:jc w:val="both"/>
        <w:rPr>
          <w:sz w:val="24"/>
          <w:szCs w:val="24"/>
        </w:rPr>
      </w:pPr>
      <w:r w:rsidRPr="00E84131">
        <w:rPr>
          <w:sz w:val="24"/>
          <w:szCs w:val="24"/>
        </w:rPr>
        <w:t xml:space="preserve">5. </w:t>
      </w:r>
      <w:proofErr w:type="spellStart"/>
      <w:r w:rsidRPr="00E84131">
        <w:rPr>
          <w:sz w:val="24"/>
          <w:szCs w:val="24"/>
        </w:rPr>
        <w:t>Маълумотларнинг</w:t>
      </w:r>
      <w:proofErr w:type="spellEnd"/>
      <w:r w:rsidRPr="00E84131">
        <w:rPr>
          <w:sz w:val="24"/>
          <w:szCs w:val="24"/>
        </w:rPr>
        <w:t xml:space="preserve"> «</w:t>
      </w:r>
      <w:proofErr w:type="spellStart"/>
      <w:r w:rsidRPr="00E84131">
        <w:rPr>
          <w:sz w:val="24"/>
          <w:szCs w:val="24"/>
        </w:rPr>
        <w:t>харажат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турлари</w:t>
      </w:r>
      <w:proofErr w:type="spellEnd"/>
      <w:r w:rsidRPr="00E84131">
        <w:rPr>
          <w:sz w:val="24"/>
          <w:szCs w:val="24"/>
        </w:rPr>
        <w:t xml:space="preserve">» </w:t>
      </w:r>
      <w:proofErr w:type="spellStart"/>
      <w:r w:rsidRPr="00E84131">
        <w:rPr>
          <w:sz w:val="24"/>
          <w:szCs w:val="24"/>
        </w:rPr>
        <w:t>қисмида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маблағлар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тўлаб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берилган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кундаги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Ўзбекистон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Республикаси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Марказий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банкининг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расмий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курси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бўйича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хорижий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валютанинг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ўзбек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миллий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сўмига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нисбатан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белгиланган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қийматида</w:t>
      </w:r>
      <w:proofErr w:type="spellEnd"/>
      <w:r w:rsidRPr="00E84131">
        <w:rPr>
          <w:sz w:val="24"/>
          <w:szCs w:val="24"/>
        </w:rPr>
        <w:t xml:space="preserve"> </w:t>
      </w:r>
      <w:proofErr w:type="spellStart"/>
      <w:r w:rsidRPr="00E84131">
        <w:rPr>
          <w:sz w:val="24"/>
          <w:szCs w:val="24"/>
        </w:rPr>
        <w:t>киритилади</w:t>
      </w:r>
      <w:proofErr w:type="spellEnd"/>
      <w:r w:rsidRPr="00E84131">
        <w:rPr>
          <w:sz w:val="24"/>
          <w:szCs w:val="24"/>
        </w:rPr>
        <w:t>.</w:t>
      </w:r>
    </w:p>
    <w:p w14:paraId="72FECE72" w14:textId="77777777" w:rsidR="00F12C76" w:rsidRPr="00E84131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E84131" w:rsidSect="001309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B7"/>
    <w:rsid w:val="000347DF"/>
    <w:rsid w:val="00130963"/>
    <w:rsid w:val="00276835"/>
    <w:rsid w:val="002E05B8"/>
    <w:rsid w:val="004205B7"/>
    <w:rsid w:val="00696E9A"/>
    <w:rsid w:val="006C0B77"/>
    <w:rsid w:val="008242FF"/>
    <w:rsid w:val="00870751"/>
    <w:rsid w:val="008E3AB2"/>
    <w:rsid w:val="00922C48"/>
    <w:rsid w:val="00AC5959"/>
    <w:rsid w:val="00B915B7"/>
    <w:rsid w:val="00C41CC1"/>
    <w:rsid w:val="00E841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A8E8"/>
  <w15:chartTrackingRefBased/>
  <w15:docId w15:val="{B3226190-48A2-416B-BEA4-20B36DF0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5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5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5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5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5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5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5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5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5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05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205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205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205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205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20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5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05B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205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05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5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05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205B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096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0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Даврон Ғуломов</cp:lastModifiedBy>
  <cp:revision>6</cp:revision>
  <dcterms:created xsi:type="dcterms:W3CDTF">2026-06-29T05:41:00Z</dcterms:created>
  <dcterms:modified xsi:type="dcterms:W3CDTF">2026-07-02T13:24:00Z</dcterms:modified>
</cp:coreProperties>
</file>